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eastAsia="黑体"/>
          <w:color w:val="000000"/>
          <w:szCs w:val="32"/>
        </w:rPr>
      </w:pPr>
      <w:bookmarkStart w:id="0" w:name="_GoBack"/>
      <w:bookmarkEnd w:id="0"/>
      <w:r>
        <w:rPr>
          <w:rFonts w:hint="eastAsia" w:ascii="黑体" w:eastAsia="黑体"/>
          <w:color w:val="000000"/>
          <w:szCs w:val="32"/>
        </w:rPr>
        <w:t>附件3</w:t>
      </w:r>
    </w:p>
    <w:p>
      <w:pPr>
        <w:widowControl/>
        <w:snapToGrid w:val="0"/>
        <w:spacing w:before="100" w:beforeAutospacing="1" w:after="100" w:afterAutospacing="1" w:line="500" w:lineRule="exact"/>
        <w:jc w:val="left"/>
        <w:rPr>
          <w:rFonts w:ascii="黑体" w:hAnsi="黑体" w:eastAsia="黑体"/>
          <w:sz w:val="24"/>
          <w:szCs w:val="24"/>
        </w:rPr>
      </w:pPr>
      <w:r>
        <w:rPr>
          <w:rFonts w:hint="eastAsia" w:ascii="黑体" w:hAnsi="黑体" w:eastAsia="黑体"/>
          <w:sz w:val="28"/>
        </w:rPr>
        <w:t>课题类别：</w:t>
      </w:r>
      <w:r>
        <w:rPr>
          <w:rFonts w:hint="eastAsia" w:ascii="黑体" w:hAnsi="黑体" w:eastAsia="黑体"/>
          <w:sz w:val="28"/>
          <w:u w:val="single"/>
        </w:rPr>
        <w:t>一般规划课题</w:t>
      </w:r>
    </w:p>
    <w:p>
      <w:pPr>
        <w:snapToGrid w:val="0"/>
        <w:spacing w:before="100" w:beforeAutospacing="1" w:after="100" w:afterAutospacing="1" w:line="500" w:lineRule="exact"/>
      </w:pPr>
    </w:p>
    <w:p>
      <w:pPr>
        <w:snapToGrid w:val="0"/>
        <w:spacing w:before="100" w:beforeAutospacing="1" w:after="100" w:afterAutospacing="1" w:line="240" w:lineRule="auto"/>
        <w:jc w:val="center"/>
        <w:rPr>
          <w:rFonts w:eastAsia="黑体"/>
          <w:sz w:val="44"/>
        </w:rPr>
      </w:pPr>
      <w:r>
        <w:rPr>
          <w:rFonts w:hint="eastAsia" w:eastAsia="黑体"/>
          <w:sz w:val="44"/>
        </w:rPr>
        <w:t>青岛市教育科学“十三五”规划课题</w:t>
      </w:r>
    </w:p>
    <w:p>
      <w:pPr>
        <w:snapToGrid w:val="0"/>
        <w:spacing w:before="100" w:beforeAutospacing="1" w:after="100" w:afterAutospacing="1" w:line="240" w:lineRule="auto"/>
        <w:jc w:val="center"/>
        <w:rPr>
          <w:rFonts w:eastAsia="华文中宋"/>
          <w:b/>
          <w:bCs/>
          <w:w w:val="150"/>
          <w:sz w:val="72"/>
        </w:rPr>
      </w:pPr>
      <w:r>
        <w:rPr>
          <w:rFonts w:hint="eastAsia" w:eastAsia="华文中宋"/>
          <w:b/>
          <w:bCs/>
          <w:w w:val="150"/>
          <w:sz w:val="72"/>
        </w:rPr>
        <w:t>立项申报书</w:t>
      </w:r>
    </w:p>
    <w:p>
      <w:pPr>
        <w:snapToGrid w:val="0"/>
        <w:spacing w:before="100" w:beforeAutospacing="1" w:after="100" w:afterAutospacing="1" w:line="500" w:lineRule="exact"/>
        <w:jc w:val="center"/>
      </w:pPr>
    </w:p>
    <w:p>
      <w:pPr>
        <w:snapToGrid w:val="0"/>
        <w:spacing w:before="100" w:beforeAutospacing="1" w:after="100" w:afterAutospacing="1" w:line="500" w:lineRule="exact"/>
        <w:jc w:val="left"/>
      </w:pPr>
    </w:p>
    <w:p>
      <w:pPr>
        <w:snapToGrid w:val="0"/>
        <w:spacing w:before="100" w:beforeAutospacing="1" w:after="100" w:afterAutospacing="1" w:line="500" w:lineRule="exact"/>
        <w:ind w:left="1260"/>
      </w:pPr>
      <w:r>
        <w:rPr>
          <w:rFonts w:hint="eastAsia" w:ascii="黑体" w:eastAsia="黑体"/>
          <w:spacing w:val="36"/>
          <w:kern w:val="16"/>
          <w:sz w:val="28"/>
          <w:szCs w:val="28"/>
        </w:rPr>
        <w:t>课题名称</w:t>
      </w:r>
      <w:r>
        <w:rPr>
          <w:rFonts w:hint="eastAsia" w:ascii="黑体" w:eastAsia="黑体"/>
          <w:sz w:val="28"/>
        </w:rPr>
        <w:t>：</w:t>
      </w:r>
      <w:r>
        <w:rPr>
          <w:rFonts w:hint="eastAsia" w:ascii="黑体" w:eastAsia="黑体"/>
          <w:sz w:val="28"/>
          <w:u w:val="single"/>
        </w:rPr>
        <w:t xml:space="preserve">基于差异的深度学习促进策略研究   </w:t>
      </w:r>
    </w:p>
    <w:p>
      <w:pPr>
        <w:snapToGrid w:val="0"/>
        <w:spacing w:before="100" w:beforeAutospacing="1" w:after="100" w:afterAutospacing="1" w:line="500" w:lineRule="exact"/>
        <w:ind w:left="1260"/>
      </w:pPr>
      <w:r>
        <w:rPr>
          <w:rFonts w:hint="eastAsia" w:ascii="黑体" w:eastAsia="黑体"/>
          <w:sz w:val="28"/>
        </w:rPr>
        <w:t>课题主持人：</w:t>
      </w:r>
      <w:r>
        <w:rPr>
          <w:rFonts w:hint="eastAsia" w:ascii="黑体" w:eastAsia="黑体"/>
          <w:sz w:val="28"/>
          <w:u w:val="single"/>
        </w:rPr>
        <w:t xml:space="preserve">          安晓兵                   </w:t>
      </w:r>
    </w:p>
    <w:p>
      <w:pPr>
        <w:snapToGrid w:val="0"/>
        <w:spacing w:before="100" w:beforeAutospacing="1" w:after="100" w:afterAutospacing="1" w:line="500" w:lineRule="exact"/>
        <w:ind w:left="1260"/>
      </w:pPr>
      <w:r>
        <w:rPr>
          <w:rFonts w:hint="eastAsia" w:ascii="黑体" w:eastAsia="黑体"/>
          <w:spacing w:val="40"/>
          <w:sz w:val="28"/>
          <w:szCs w:val="28"/>
        </w:rPr>
        <w:t>所在单位</w:t>
      </w:r>
      <w:r>
        <w:rPr>
          <w:rFonts w:hint="eastAsia" w:ascii="黑体" w:eastAsia="黑体"/>
          <w:sz w:val="28"/>
        </w:rPr>
        <w:t>：</w:t>
      </w:r>
      <w:r>
        <w:rPr>
          <w:rFonts w:hint="eastAsia" w:ascii="黑体" w:eastAsia="黑体"/>
          <w:sz w:val="28"/>
          <w:u w:val="single"/>
        </w:rPr>
        <w:t xml:space="preserve">  青岛宁夏路第二小学              </w:t>
      </w:r>
    </w:p>
    <w:p>
      <w:pPr>
        <w:snapToGrid w:val="0"/>
        <w:spacing w:before="100" w:beforeAutospacing="1" w:after="100" w:afterAutospacing="1" w:line="500" w:lineRule="exact"/>
        <w:ind w:left="1260"/>
      </w:pPr>
      <w:r>
        <w:rPr>
          <w:rFonts w:hint="eastAsia" w:ascii="黑体" w:eastAsia="黑体"/>
          <w:spacing w:val="40"/>
          <w:sz w:val="28"/>
          <w:szCs w:val="28"/>
        </w:rPr>
        <w:t>申报日期</w:t>
      </w:r>
      <w:r>
        <w:rPr>
          <w:rFonts w:hint="eastAsia" w:ascii="黑体" w:eastAsia="黑体"/>
          <w:sz w:val="28"/>
        </w:rPr>
        <w:t>：</w:t>
      </w:r>
      <w:r>
        <w:rPr>
          <w:rFonts w:hint="eastAsia" w:ascii="黑体" w:eastAsia="黑体"/>
          <w:sz w:val="28"/>
          <w:u w:val="single"/>
        </w:rPr>
        <w:t xml:space="preserve">         2018.3     </w:t>
      </w:r>
    </w:p>
    <w:p>
      <w:pPr>
        <w:snapToGrid w:val="0"/>
        <w:spacing w:before="100" w:beforeAutospacing="1" w:after="100" w:afterAutospacing="1" w:line="500" w:lineRule="exact"/>
      </w:pPr>
    </w:p>
    <w:p>
      <w:pPr>
        <w:snapToGrid w:val="0"/>
        <w:spacing w:before="100" w:beforeAutospacing="1" w:after="100" w:afterAutospacing="1" w:line="500" w:lineRule="exact"/>
      </w:pPr>
    </w:p>
    <w:p>
      <w:pPr>
        <w:snapToGrid w:val="0"/>
        <w:spacing w:before="100" w:beforeAutospacing="1" w:after="100" w:afterAutospacing="1" w:line="500" w:lineRule="exact"/>
      </w:pPr>
    </w:p>
    <w:p>
      <w:pPr>
        <w:snapToGrid w:val="0"/>
        <w:spacing w:before="100" w:beforeAutospacing="1" w:after="100" w:afterAutospacing="1" w:line="500" w:lineRule="exact"/>
        <w:jc w:val="center"/>
        <w:rPr>
          <w:rFonts w:ascii="黑体" w:eastAsia="黑体"/>
          <w:sz w:val="28"/>
          <w:szCs w:val="28"/>
        </w:rPr>
      </w:pPr>
      <w:r>
        <w:rPr>
          <w:rFonts w:hint="eastAsia" w:ascii="黑体" w:eastAsia="黑体"/>
          <w:sz w:val="28"/>
          <w:szCs w:val="28"/>
        </w:rPr>
        <w:t>青岛市教育科学研究工作领导小组办公室制</w:t>
      </w:r>
    </w:p>
    <w:p>
      <w:pPr>
        <w:spacing w:before="100" w:beforeAutospacing="1" w:after="100" w:afterAutospacing="1" w:line="280" w:lineRule="exact"/>
        <w:jc w:val="center"/>
        <w:rPr>
          <w:rFonts w:ascii="黑体" w:eastAsia="黑体"/>
          <w:sz w:val="30"/>
          <w:szCs w:val="30"/>
        </w:rPr>
      </w:pPr>
      <w:r>
        <w:rPr>
          <w:rFonts w:ascii="黑体" w:eastAsia="黑体"/>
          <w:sz w:val="28"/>
          <w:szCs w:val="28"/>
        </w:rPr>
        <w:br w:type="page"/>
      </w:r>
      <w:r>
        <w:rPr>
          <w:rFonts w:hint="eastAsia" w:ascii="黑体" w:eastAsia="黑体"/>
          <w:sz w:val="30"/>
          <w:szCs w:val="30"/>
        </w:rPr>
        <w:t>申请者的承诺与成果使用授权</w:t>
      </w:r>
    </w:p>
    <w:p>
      <w:pPr>
        <w:spacing w:line="360" w:lineRule="exact"/>
        <w:ind w:firstLine="512" w:firstLineChars="200"/>
        <w:outlineLvl w:val="0"/>
        <w:rPr>
          <w:rFonts w:ascii="楷体" w:hAnsi="楷体" w:eastAsia="楷体"/>
          <w:sz w:val="24"/>
          <w:szCs w:val="24"/>
          <w:lang w:val="zh-CN"/>
        </w:rPr>
      </w:pPr>
      <w:r>
        <w:rPr>
          <w:rFonts w:hint="eastAsia" w:ascii="楷体" w:hAnsi="楷体" w:eastAsia="楷体"/>
          <w:sz w:val="24"/>
          <w:szCs w:val="24"/>
        </w:rPr>
        <w:t>一、本人自愿申报市南区教育科学规划课题。认可所填写的《市南区教育科学“十三五”规划课题立项申报书》（以下简称为《立项申报书》）为有约束力的协议，并承诺对所填写的《立项申报书》所涉及各项内容的真实性负责，保证没有知识产权争议。同意市南区</w:t>
      </w:r>
      <w:r>
        <w:rPr>
          <w:rFonts w:hint="eastAsia" w:ascii="楷体" w:hAnsi="楷体" w:eastAsia="楷体"/>
          <w:sz w:val="24"/>
          <w:szCs w:val="24"/>
          <w:lang w:val="zh-CN"/>
        </w:rPr>
        <w:t>教育科学规划领导小组办公室</w:t>
      </w:r>
      <w:r>
        <w:rPr>
          <w:rFonts w:hint="eastAsia" w:ascii="楷体" w:hAnsi="楷体" w:eastAsia="楷体"/>
          <w:sz w:val="24"/>
          <w:szCs w:val="24"/>
        </w:rPr>
        <w:t>有权使用《立项申报书》所有数据和资料。课题申请</w:t>
      </w:r>
      <w:r>
        <w:rPr>
          <w:rFonts w:hint="eastAsia" w:ascii="楷体" w:hAnsi="楷体" w:eastAsia="楷体"/>
          <w:sz w:val="24"/>
          <w:szCs w:val="24"/>
          <w:lang w:val="zh-CN"/>
        </w:rPr>
        <w:t>如</w:t>
      </w:r>
      <w:r>
        <w:rPr>
          <w:rFonts w:hint="eastAsia" w:ascii="楷体" w:hAnsi="楷体" w:eastAsia="楷体"/>
          <w:sz w:val="24"/>
          <w:szCs w:val="24"/>
        </w:rPr>
        <w:t>获准立项</w:t>
      </w:r>
      <w:r>
        <w:rPr>
          <w:rFonts w:ascii="楷体" w:hAnsi="楷体" w:eastAsia="楷体"/>
          <w:sz w:val="24"/>
          <w:szCs w:val="24"/>
          <w:lang w:val="zh-CN"/>
        </w:rPr>
        <w:t>,</w:t>
      </w:r>
      <w:r>
        <w:rPr>
          <w:rFonts w:hint="eastAsia" w:ascii="楷体" w:hAnsi="楷体" w:eastAsia="楷体"/>
          <w:sz w:val="24"/>
          <w:szCs w:val="24"/>
          <w:lang w:val="zh-CN"/>
        </w:rPr>
        <w:t>在研究工作中，接受市南区教育科学规划领导小组办公室的管理，并对以下约定信守承诺：</w:t>
      </w:r>
    </w:p>
    <w:p>
      <w:pPr>
        <w:spacing w:line="360" w:lineRule="exact"/>
        <w:ind w:firstLine="512" w:firstLineChars="200"/>
        <w:rPr>
          <w:rFonts w:ascii="楷体" w:hAnsi="楷体" w:eastAsia="楷体"/>
          <w:sz w:val="24"/>
          <w:szCs w:val="24"/>
          <w:lang w:val="zh-CN"/>
        </w:rPr>
      </w:pPr>
      <w:r>
        <w:rPr>
          <w:rFonts w:ascii="楷体" w:hAnsi="楷体" w:eastAsia="楷体"/>
          <w:sz w:val="24"/>
          <w:szCs w:val="24"/>
          <w:lang w:val="zh-CN"/>
        </w:rPr>
        <w:t>1</w:t>
      </w:r>
      <w:r>
        <w:rPr>
          <w:rFonts w:hint="eastAsia" w:ascii="楷体" w:hAnsi="楷体" w:eastAsia="楷体"/>
          <w:sz w:val="24"/>
          <w:szCs w:val="24"/>
          <w:lang w:val="zh-CN"/>
        </w:rPr>
        <w:t>．遵守相关法律法规。遵守我国《著作权法》和《专利法》等相关法律法规；遵守我国政府签署加入的相关国际知识产权规定。</w:t>
      </w:r>
    </w:p>
    <w:p>
      <w:pPr>
        <w:autoSpaceDE w:val="0"/>
        <w:autoSpaceDN w:val="0"/>
        <w:spacing w:line="360" w:lineRule="exact"/>
        <w:ind w:firstLine="512" w:firstLineChars="200"/>
        <w:jc w:val="left"/>
        <w:rPr>
          <w:rFonts w:ascii="楷体" w:hAnsi="楷体" w:eastAsia="楷体"/>
          <w:sz w:val="24"/>
          <w:szCs w:val="24"/>
          <w:lang w:val="zh-CN"/>
        </w:rPr>
      </w:pPr>
      <w:r>
        <w:rPr>
          <w:rFonts w:ascii="楷体" w:hAnsi="楷体" w:eastAsia="楷体"/>
          <w:sz w:val="24"/>
          <w:szCs w:val="24"/>
          <w:lang w:val="zh-CN"/>
        </w:rPr>
        <w:t>2</w:t>
      </w:r>
      <w:r>
        <w:rPr>
          <w:rFonts w:hint="eastAsia" w:ascii="楷体" w:hAnsi="楷体" w:eastAsia="楷体"/>
          <w:sz w:val="24"/>
          <w:szCs w:val="24"/>
          <w:lang w:val="zh-CN"/>
        </w:rPr>
        <w:t>．遵循学术研究的基本规范。科学设计研究方案，采用适当的研究方法，如期完成研究任务，</w:t>
      </w:r>
      <w:r>
        <w:rPr>
          <w:rFonts w:hint="eastAsia" w:ascii="楷体" w:hAnsi="楷体" w:eastAsia="楷体"/>
          <w:sz w:val="24"/>
          <w:szCs w:val="24"/>
        </w:rPr>
        <w:t>取得预期研究成果</w:t>
      </w:r>
      <w:r>
        <w:rPr>
          <w:rFonts w:hint="eastAsia" w:ascii="楷体" w:hAnsi="楷体" w:eastAsia="楷体"/>
          <w:sz w:val="24"/>
          <w:szCs w:val="24"/>
          <w:lang w:val="zh-CN"/>
        </w:rPr>
        <w:t>。</w:t>
      </w:r>
    </w:p>
    <w:p>
      <w:pPr>
        <w:autoSpaceDE w:val="0"/>
        <w:autoSpaceDN w:val="0"/>
        <w:spacing w:line="360" w:lineRule="exact"/>
        <w:ind w:firstLine="512" w:firstLineChars="200"/>
        <w:rPr>
          <w:rFonts w:ascii="楷体" w:hAnsi="楷体" w:eastAsia="楷体"/>
          <w:sz w:val="24"/>
          <w:szCs w:val="24"/>
          <w:lang w:val="zh-CN"/>
        </w:rPr>
      </w:pPr>
      <w:r>
        <w:rPr>
          <w:rFonts w:ascii="楷体" w:hAnsi="楷体" w:eastAsia="楷体"/>
          <w:sz w:val="24"/>
          <w:szCs w:val="24"/>
          <w:lang w:val="zh-CN"/>
        </w:rPr>
        <w:t>3</w:t>
      </w:r>
      <w:r>
        <w:rPr>
          <w:rFonts w:hint="eastAsia" w:ascii="楷体" w:hAnsi="楷体" w:eastAsia="楷体"/>
          <w:sz w:val="24"/>
          <w:szCs w:val="24"/>
          <w:lang w:val="zh-CN"/>
        </w:rPr>
        <w:t>．尊重他人的知识贡献。客观、公正、准确地介绍和评论已有学术成果。凡引用他人的观点、方案、资料、数据等，无论曾否发表，无论是纸质或电子版，</w:t>
      </w:r>
      <w:r>
        <w:rPr>
          <w:rFonts w:hint="eastAsia" w:ascii="楷体" w:hAnsi="楷体" w:eastAsia="楷体"/>
          <w:sz w:val="24"/>
          <w:szCs w:val="24"/>
        </w:rPr>
        <w:t>均</w:t>
      </w:r>
      <w:r>
        <w:rPr>
          <w:rFonts w:hint="eastAsia" w:ascii="楷体" w:hAnsi="楷体" w:eastAsia="楷体"/>
          <w:sz w:val="24"/>
          <w:szCs w:val="24"/>
          <w:lang w:val="zh-CN"/>
        </w:rPr>
        <w:t>加以注释。凡转引文献资料，均如实说明。</w:t>
      </w:r>
    </w:p>
    <w:p>
      <w:pPr>
        <w:autoSpaceDE w:val="0"/>
        <w:autoSpaceDN w:val="0"/>
        <w:spacing w:line="360" w:lineRule="exact"/>
        <w:ind w:firstLine="512" w:firstLineChars="200"/>
        <w:rPr>
          <w:rFonts w:ascii="楷体" w:hAnsi="楷体" w:eastAsia="楷体"/>
          <w:sz w:val="24"/>
          <w:szCs w:val="24"/>
          <w:lang w:val="zh-CN"/>
        </w:rPr>
      </w:pPr>
      <w:r>
        <w:rPr>
          <w:rFonts w:ascii="楷体" w:hAnsi="楷体" w:eastAsia="楷体"/>
          <w:sz w:val="24"/>
          <w:szCs w:val="24"/>
          <w:lang w:val="zh-CN"/>
        </w:rPr>
        <w:t>4</w:t>
      </w:r>
      <w:r>
        <w:rPr>
          <w:rFonts w:hint="eastAsia" w:ascii="楷体" w:hAnsi="楷体" w:eastAsia="楷体"/>
          <w:sz w:val="24"/>
          <w:szCs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spacing w:line="360" w:lineRule="exact"/>
        <w:ind w:firstLine="512" w:firstLineChars="200"/>
        <w:rPr>
          <w:rFonts w:ascii="楷体" w:hAnsi="楷体" w:eastAsia="楷体"/>
          <w:sz w:val="24"/>
          <w:szCs w:val="24"/>
          <w:lang w:val="zh-CN"/>
        </w:rPr>
      </w:pPr>
      <w:r>
        <w:rPr>
          <w:rFonts w:ascii="楷体" w:hAnsi="楷体" w:eastAsia="楷体"/>
          <w:sz w:val="24"/>
          <w:szCs w:val="24"/>
          <w:lang w:val="zh-CN"/>
        </w:rPr>
        <w:t>5</w:t>
      </w:r>
      <w:r>
        <w:rPr>
          <w:rFonts w:hint="eastAsia" w:ascii="楷体" w:hAnsi="楷体" w:eastAsia="楷体"/>
          <w:sz w:val="24"/>
          <w:szCs w:val="24"/>
          <w:lang w:val="zh-CN"/>
        </w:rPr>
        <w:t>．维护学术尊严。保持学者尊严，增强公共服务意识，维护社会公共利益。维护市南区教育科学规划课题声誉，不以课题名义牟取不当利益。</w:t>
      </w:r>
    </w:p>
    <w:p>
      <w:pPr>
        <w:autoSpaceDE w:val="0"/>
        <w:autoSpaceDN w:val="0"/>
        <w:spacing w:line="360" w:lineRule="exact"/>
        <w:ind w:firstLine="512" w:firstLineChars="200"/>
        <w:rPr>
          <w:rFonts w:ascii="楷体" w:hAnsi="楷体" w:eastAsia="楷体"/>
          <w:sz w:val="24"/>
          <w:szCs w:val="24"/>
          <w:lang w:val="zh-CN"/>
        </w:rPr>
      </w:pPr>
      <w:r>
        <w:rPr>
          <w:rFonts w:ascii="楷体" w:hAnsi="楷体" w:eastAsia="楷体"/>
          <w:sz w:val="24"/>
          <w:szCs w:val="24"/>
          <w:lang w:val="zh-CN"/>
        </w:rPr>
        <w:t>6</w:t>
      </w:r>
      <w:r>
        <w:rPr>
          <w:rFonts w:hint="eastAsia" w:ascii="楷体" w:hAnsi="楷体" w:eastAsia="楷体"/>
          <w:sz w:val="24"/>
          <w:szCs w:val="24"/>
          <w:lang w:val="zh-CN"/>
        </w:rPr>
        <w:t>．遵守课题管理规定。遵守市南区教育科学规划课题规程的规定。</w:t>
      </w:r>
    </w:p>
    <w:p>
      <w:pPr>
        <w:autoSpaceDE w:val="0"/>
        <w:autoSpaceDN w:val="0"/>
        <w:spacing w:line="360" w:lineRule="exact"/>
        <w:ind w:firstLine="512" w:firstLineChars="200"/>
        <w:rPr>
          <w:rFonts w:ascii="楷体" w:hAnsi="楷体" w:eastAsia="楷体"/>
          <w:sz w:val="24"/>
          <w:szCs w:val="24"/>
        </w:rPr>
      </w:pPr>
      <w:r>
        <w:rPr>
          <w:rFonts w:ascii="楷体" w:hAnsi="楷体" w:eastAsia="楷体"/>
          <w:sz w:val="24"/>
          <w:szCs w:val="24"/>
        </w:rPr>
        <w:t>7</w:t>
      </w:r>
      <w:r>
        <w:rPr>
          <w:rFonts w:hint="eastAsia" w:ascii="楷体" w:hAnsi="楷体" w:eastAsia="楷体"/>
          <w:sz w:val="24"/>
          <w:szCs w:val="24"/>
        </w:rPr>
        <w:t>．</w:t>
      </w:r>
      <w:r>
        <w:rPr>
          <w:rFonts w:hint="eastAsia" w:ascii="楷体" w:hAnsi="楷体" w:eastAsia="楷体"/>
          <w:sz w:val="24"/>
          <w:szCs w:val="24"/>
          <w:lang w:val="zh-CN"/>
        </w:rPr>
        <w:t>正确表达科研成果。按照《国家通用语言文字法》规定，规范使用中国语言文字、标点符号、数字及外国语言文字。</w:t>
      </w:r>
    </w:p>
    <w:p>
      <w:pPr>
        <w:autoSpaceDE w:val="0"/>
        <w:autoSpaceDN w:val="0"/>
        <w:spacing w:line="360" w:lineRule="exact"/>
        <w:ind w:firstLine="512" w:firstLineChars="200"/>
        <w:jc w:val="left"/>
        <w:rPr>
          <w:rFonts w:ascii="楷体" w:hAnsi="楷体" w:eastAsia="楷体"/>
          <w:sz w:val="24"/>
          <w:szCs w:val="24"/>
          <w:lang w:val="zh-CN"/>
        </w:rPr>
      </w:pPr>
      <w:r>
        <w:rPr>
          <w:rFonts w:ascii="楷体" w:hAnsi="楷体" w:eastAsia="楷体"/>
          <w:sz w:val="24"/>
          <w:szCs w:val="24"/>
        </w:rPr>
        <w:t>8</w:t>
      </w:r>
      <w:r>
        <w:rPr>
          <w:rFonts w:hint="eastAsia" w:ascii="楷体" w:hAnsi="楷体" w:eastAsia="楷体"/>
          <w:sz w:val="24"/>
          <w:szCs w:val="24"/>
        </w:rPr>
        <w:t>．</w:t>
      </w:r>
      <w:r>
        <w:rPr>
          <w:rFonts w:hint="eastAsia" w:ascii="楷体" w:hAnsi="楷体" w:eastAsia="楷体"/>
          <w:sz w:val="24"/>
          <w:szCs w:val="24"/>
          <w:lang w:val="zh-CN"/>
        </w:rPr>
        <w:t>按照预期完成研究任务。成果达到约定要求。课题成果专著、论文、研究报告等公开发表，并在</w:t>
      </w:r>
      <w:r>
        <w:rPr>
          <w:rFonts w:hint="eastAsia" w:ascii="楷体" w:hAnsi="楷体" w:eastAsia="楷体"/>
          <w:sz w:val="24"/>
          <w:szCs w:val="24"/>
        </w:rPr>
        <w:t>学术界和实践领域产生一定的影响。</w:t>
      </w:r>
    </w:p>
    <w:p>
      <w:pPr>
        <w:spacing w:line="360" w:lineRule="exact"/>
        <w:ind w:firstLine="512" w:firstLineChars="200"/>
        <w:rPr>
          <w:rFonts w:ascii="楷体" w:hAnsi="楷体" w:eastAsia="楷体"/>
          <w:sz w:val="24"/>
          <w:szCs w:val="24"/>
        </w:rPr>
      </w:pPr>
      <w:r>
        <w:rPr>
          <w:rFonts w:hint="eastAsia" w:ascii="楷体" w:hAnsi="楷体" w:eastAsia="楷体"/>
          <w:sz w:val="24"/>
          <w:szCs w:val="24"/>
        </w:rPr>
        <w:t>二、作为课题研究者，</w:t>
      </w:r>
      <w:r>
        <w:rPr>
          <w:rFonts w:hint="eastAsia" w:ascii="楷体" w:hAnsi="楷体" w:eastAsia="楷体"/>
          <w:sz w:val="24"/>
          <w:szCs w:val="24"/>
          <w:lang w:val="zh-CN"/>
        </w:rPr>
        <w:t>本人</w:t>
      </w:r>
      <w:r>
        <w:rPr>
          <w:rFonts w:hint="eastAsia" w:ascii="楷体" w:hAnsi="楷体" w:eastAsia="楷体"/>
          <w:sz w:val="24"/>
          <w:szCs w:val="24"/>
        </w:rPr>
        <w:t>完全了解市南区教育科学规划领导小组办公室的有关管理规定，完全意识到本声明的法律后果由本人承担。特授权市南区教育科学规划领导小组办公室：有权保留并向我市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60" w:lineRule="exact"/>
        <w:ind w:firstLine="2304" w:firstLineChars="900"/>
        <w:rPr>
          <w:rFonts w:ascii="楷体" w:hAnsi="楷体" w:eastAsia="楷体"/>
          <w:sz w:val="24"/>
          <w:szCs w:val="24"/>
        </w:rPr>
      </w:pPr>
    </w:p>
    <w:p>
      <w:pPr>
        <w:spacing w:line="360" w:lineRule="exact"/>
        <w:ind w:firstLine="2304" w:firstLineChars="900"/>
        <w:rPr>
          <w:rFonts w:ascii="楷体" w:hAnsi="楷体" w:eastAsia="楷体"/>
          <w:sz w:val="24"/>
          <w:szCs w:val="24"/>
        </w:rPr>
      </w:pPr>
      <w:r>
        <w:rPr>
          <w:rFonts w:hint="eastAsia" w:ascii="楷体" w:hAnsi="楷体" w:eastAsia="楷体"/>
          <w:sz w:val="24"/>
          <w:szCs w:val="24"/>
        </w:rPr>
        <w:t>申请者（签章）：＿＿＿＿＿＿＿＿＿＿</w:t>
      </w:r>
    </w:p>
    <w:p>
      <w:pPr>
        <w:spacing w:line="360" w:lineRule="exact"/>
        <w:ind w:left="525" w:right="568" w:firstLine="3225"/>
        <w:jc w:val="center"/>
        <w:rPr>
          <w:rFonts w:ascii="楷体" w:hAnsi="楷体" w:eastAsia="楷体"/>
          <w:sz w:val="24"/>
          <w:szCs w:val="24"/>
        </w:rPr>
        <w:sectPr>
          <w:pgSz w:w="11906" w:h="16838"/>
          <w:pgMar w:top="1440" w:right="1800" w:bottom="1440" w:left="1800" w:header="851" w:footer="992" w:gutter="0"/>
          <w:pgNumType w:start="1"/>
          <w:cols w:space="720" w:num="1"/>
          <w:docGrid w:type="lines" w:linePitch="312" w:charSpace="0"/>
        </w:sectPr>
      </w:pPr>
    </w:p>
    <w:p>
      <w:pPr>
        <w:snapToGrid w:val="0"/>
        <w:spacing w:before="100" w:beforeAutospacing="1" w:after="100" w:afterAutospacing="1" w:line="500" w:lineRule="exact"/>
        <w:rPr>
          <w:rFonts w:ascii="黑体" w:eastAsia="黑体"/>
          <w:sz w:val="30"/>
          <w:szCs w:val="30"/>
        </w:rPr>
      </w:pPr>
      <w:r>
        <w:rPr>
          <w:rFonts w:hint="eastAsia" w:ascii="黑体" w:eastAsia="黑体"/>
          <w:sz w:val="30"/>
          <w:szCs w:val="30"/>
        </w:rPr>
        <w:t>一、课题研究人员基本信息</w:t>
      </w:r>
    </w:p>
    <w:tbl>
      <w:tblPr>
        <w:tblStyle w:val="5"/>
        <w:tblW w:w="9322" w:type="dxa"/>
        <w:tblInd w:w="-5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14"/>
        <w:gridCol w:w="720"/>
        <w:gridCol w:w="540"/>
        <w:gridCol w:w="488"/>
        <w:gridCol w:w="467"/>
        <w:gridCol w:w="901"/>
        <w:gridCol w:w="904"/>
        <w:gridCol w:w="896"/>
        <w:gridCol w:w="649"/>
        <w:gridCol w:w="1219"/>
        <w:gridCol w:w="142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34" w:type="dxa"/>
            <w:gridSpan w:val="2"/>
            <w:tcBorders>
              <w:top w:val="single" w:color="auto" w:sz="12" w:space="0"/>
              <w:left w:val="single" w:color="auto" w:sz="12" w:space="0"/>
              <w:bottom w:val="single" w:color="auto" w:sz="4"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主持人姓名</w:t>
            </w:r>
          </w:p>
        </w:tc>
        <w:tc>
          <w:tcPr>
            <w:tcW w:w="1028" w:type="dxa"/>
            <w:gridSpan w:val="2"/>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eastAsia="方正行楷简体"/>
                <w:sz w:val="24"/>
              </w:rPr>
              <w:t>安晓兵</w:t>
            </w:r>
          </w:p>
        </w:tc>
        <w:tc>
          <w:tcPr>
            <w:tcW w:w="467" w:type="dxa"/>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性别</w:t>
            </w:r>
          </w:p>
        </w:tc>
        <w:tc>
          <w:tcPr>
            <w:tcW w:w="901" w:type="dxa"/>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男</w:t>
            </w:r>
          </w:p>
        </w:tc>
        <w:tc>
          <w:tcPr>
            <w:tcW w:w="904" w:type="dxa"/>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民族</w:t>
            </w:r>
          </w:p>
        </w:tc>
        <w:tc>
          <w:tcPr>
            <w:tcW w:w="896" w:type="dxa"/>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汉</w:t>
            </w:r>
          </w:p>
        </w:tc>
        <w:tc>
          <w:tcPr>
            <w:tcW w:w="1868" w:type="dxa"/>
            <w:gridSpan w:val="2"/>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出生年月</w:t>
            </w:r>
          </w:p>
        </w:tc>
        <w:tc>
          <w:tcPr>
            <w:tcW w:w="1424" w:type="dxa"/>
            <w:tcBorders>
              <w:top w:val="single" w:color="auto" w:sz="12" w:space="0"/>
              <w:left w:val="single" w:color="auto" w:sz="6" w:space="0"/>
              <w:bottom w:val="single" w:color="auto" w:sz="6" w:space="0"/>
              <w:right w:val="single" w:color="auto" w:sz="12"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仿宋_GB2312" w:eastAsia="仿宋_GB2312"/>
                <w:sz w:val="21"/>
                <w:szCs w:val="21"/>
              </w:rPr>
              <w:t>1970.08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834" w:type="dxa"/>
            <w:gridSpan w:val="2"/>
            <w:tcBorders>
              <w:top w:val="single" w:color="auto" w:sz="4" w:space="0"/>
              <w:left w:val="single" w:color="auto" w:sz="12"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行政职务</w:t>
            </w:r>
          </w:p>
        </w:tc>
        <w:tc>
          <w:tcPr>
            <w:tcW w:w="1028"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sz w:val="21"/>
                <w:szCs w:val="21"/>
              </w:rPr>
            </w:pPr>
            <w:r>
              <w:rPr>
                <w:rFonts w:hint="eastAsia" w:ascii="宋体" w:hAnsi="宋体" w:eastAsia="宋体"/>
                <w:sz w:val="21"/>
                <w:szCs w:val="21"/>
              </w:rPr>
              <w:t>校长兼党支部书记</w:t>
            </w:r>
          </w:p>
        </w:tc>
        <w:tc>
          <w:tcPr>
            <w:tcW w:w="13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专业技术职务</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高级教师</w:t>
            </w:r>
          </w:p>
        </w:tc>
        <w:tc>
          <w:tcPr>
            <w:tcW w:w="18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研究专长</w:t>
            </w:r>
          </w:p>
        </w:tc>
        <w:tc>
          <w:tcPr>
            <w:tcW w:w="1424" w:type="dxa"/>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sz w:val="24"/>
              </w:rPr>
              <w:t>教师培训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34" w:type="dxa"/>
            <w:gridSpan w:val="2"/>
            <w:tcBorders>
              <w:top w:val="single" w:color="auto" w:sz="6" w:space="0"/>
              <w:left w:val="single" w:color="auto" w:sz="12"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最后学历</w:t>
            </w:r>
          </w:p>
        </w:tc>
        <w:tc>
          <w:tcPr>
            <w:tcW w:w="102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本科</w:t>
            </w:r>
          </w:p>
        </w:tc>
        <w:tc>
          <w:tcPr>
            <w:tcW w:w="13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最后学位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sz w:val="24"/>
              </w:rPr>
              <w:t>教育硕士</w:t>
            </w:r>
          </w:p>
        </w:tc>
        <w:tc>
          <w:tcPr>
            <w:tcW w:w="18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“十二五”课题完成情况</w:t>
            </w:r>
          </w:p>
        </w:tc>
        <w:tc>
          <w:tcPr>
            <w:tcW w:w="1424" w:type="dxa"/>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顺利结题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834" w:type="dxa"/>
            <w:gridSpan w:val="2"/>
            <w:tcBorders>
              <w:top w:val="single" w:color="auto" w:sz="6" w:space="0"/>
              <w:left w:val="single" w:color="auto" w:sz="12"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工作单位</w:t>
            </w:r>
          </w:p>
        </w:tc>
        <w:tc>
          <w:tcPr>
            <w:tcW w:w="102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青岛宁夏路第二小学</w:t>
            </w:r>
          </w:p>
        </w:tc>
        <w:tc>
          <w:tcPr>
            <w:tcW w:w="13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联系电话</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sz w:val="24"/>
              </w:rPr>
              <w:t>13370845128</w:t>
            </w:r>
          </w:p>
        </w:tc>
        <w:tc>
          <w:tcPr>
            <w:tcW w:w="18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E-mail</w:t>
            </w:r>
          </w:p>
        </w:tc>
        <w:tc>
          <w:tcPr>
            <w:tcW w:w="1424" w:type="dxa"/>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sz w:val="24"/>
              </w:rPr>
              <w:t>anpan@sina.com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834" w:type="dxa"/>
            <w:gridSpan w:val="2"/>
            <w:tcBorders>
              <w:top w:val="single" w:color="auto" w:sz="6" w:space="0"/>
              <w:left w:val="single" w:color="auto" w:sz="12"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通讯地址</w:t>
            </w:r>
          </w:p>
        </w:tc>
        <w:tc>
          <w:tcPr>
            <w:tcW w:w="4196" w:type="dxa"/>
            <w:gridSpan w:val="6"/>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青岛市市南区高田路72号</w:t>
            </w:r>
          </w:p>
        </w:tc>
        <w:tc>
          <w:tcPr>
            <w:tcW w:w="1868"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4"/>
                <w:szCs w:val="24"/>
              </w:rPr>
            </w:pPr>
            <w:r>
              <w:rPr>
                <w:rFonts w:hint="eastAsia" w:ascii="宋体" w:hAnsi="宋体" w:eastAsia="宋体"/>
                <w:sz w:val="24"/>
                <w:szCs w:val="24"/>
              </w:rPr>
              <w:t>邮政编码</w:t>
            </w:r>
          </w:p>
        </w:tc>
        <w:tc>
          <w:tcPr>
            <w:tcW w:w="1424" w:type="dxa"/>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266071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15" w:hRule="atLeast"/>
        </w:trPr>
        <w:tc>
          <w:tcPr>
            <w:tcW w:w="1114" w:type="dxa"/>
            <w:vMerge w:val="restart"/>
            <w:tcBorders>
              <w:top w:val="single" w:color="auto" w:sz="6" w:space="0"/>
              <w:left w:val="single" w:color="auto" w:sz="12" w:space="0"/>
              <w:right w:val="single" w:color="auto" w:sz="6" w:space="0"/>
            </w:tcBorders>
            <w:textDirection w:val="tbRlV"/>
            <w:vAlign w:val="center"/>
          </w:tcPr>
          <w:p>
            <w:pPr>
              <w:spacing w:line="500" w:lineRule="exact"/>
              <w:ind w:left="113" w:right="113"/>
              <w:jc w:val="center"/>
              <w:rPr>
                <w:rFonts w:ascii="宋体" w:hAnsi="宋体" w:eastAsia="宋体"/>
                <w:sz w:val="24"/>
                <w:szCs w:val="24"/>
              </w:rPr>
            </w:pPr>
            <w:r>
              <w:rPr>
                <w:rFonts w:hint="eastAsia" w:ascii="宋体" w:hAnsi="宋体" w:eastAsia="宋体"/>
                <w:sz w:val="24"/>
                <w:szCs w:val="24"/>
              </w:rPr>
              <w:t>课题组主要成员（不含主持人）</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姓  名</w:t>
            </w:r>
          </w:p>
        </w:tc>
        <w:tc>
          <w:tcPr>
            <w:tcW w:w="1856" w:type="dxa"/>
            <w:gridSpan w:val="3"/>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专业技术职务</w:t>
            </w:r>
          </w:p>
        </w:tc>
        <w:tc>
          <w:tcPr>
            <w:tcW w:w="2449" w:type="dxa"/>
            <w:gridSpan w:val="3"/>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工作单位</w:t>
            </w:r>
          </w:p>
        </w:tc>
        <w:tc>
          <w:tcPr>
            <w:tcW w:w="2643" w:type="dxa"/>
            <w:gridSpan w:val="2"/>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line="500" w:lineRule="exact"/>
              <w:jc w:val="center"/>
              <w:rPr>
                <w:rFonts w:ascii="宋体" w:hAnsi="宋体" w:eastAsia="宋体"/>
                <w:sz w:val="21"/>
                <w:szCs w:val="21"/>
              </w:rPr>
            </w:pPr>
            <w:r>
              <w:rPr>
                <w:rFonts w:hint="eastAsia" w:ascii="宋体" w:hAnsi="宋体" w:eastAsia="宋体"/>
                <w:sz w:val="21"/>
                <w:szCs w:val="21"/>
              </w:rPr>
              <w:t>研究专长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53"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尹海英</w:t>
            </w:r>
          </w:p>
        </w:tc>
        <w:tc>
          <w:tcPr>
            <w:tcW w:w="1856" w:type="dxa"/>
            <w:gridSpan w:val="3"/>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一级教师</w:t>
            </w:r>
          </w:p>
        </w:tc>
        <w:tc>
          <w:tcPr>
            <w:tcW w:w="2449" w:type="dxa"/>
            <w:gridSpan w:val="3"/>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青岛宁夏路第二小学</w:t>
            </w:r>
          </w:p>
        </w:tc>
        <w:tc>
          <w:tcPr>
            <w:tcW w:w="2643" w:type="dxa"/>
            <w:gridSpan w:val="2"/>
            <w:tcBorders>
              <w:top w:val="single" w:color="auto" w:sz="6"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汉语言文学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王玉玲</w:t>
            </w:r>
          </w:p>
        </w:tc>
        <w:tc>
          <w:tcPr>
            <w:tcW w:w="1856"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一级教师</w:t>
            </w:r>
          </w:p>
        </w:tc>
        <w:tc>
          <w:tcPr>
            <w:tcW w:w="2449" w:type="dxa"/>
            <w:gridSpan w:val="3"/>
            <w:tcBorders>
              <w:top w:val="single" w:color="auto" w:sz="4" w:space="0"/>
              <w:left w:val="single" w:color="auto" w:sz="6" w:space="0"/>
              <w:bottom w:val="single" w:color="auto" w:sz="4" w:space="0"/>
              <w:right w:val="single" w:color="auto" w:sz="4" w:space="0"/>
            </w:tcBorders>
            <w:vAlign w:val="center"/>
          </w:tcPr>
          <w:p>
            <w:pPr>
              <w:spacing w:line="360" w:lineRule="exact"/>
              <w:jc w:val="center"/>
              <w:rPr>
                <w:sz w:val="21"/>
                <w:szCs w:val="21"/>
              </w:rPr>
            </w:pPr>
            <w:r>
              <w:rPr>
                <w:rFonts w:hint="eastAsia" w:ascii="宋体" w:hAnsi="宋体" w:eastAsia="宋体"/>
                <w:sz w:val="21"/>
                <w:szCs w:val="21"/>
              </w:rPr>
              <w:t>青岛宁夏路第二小学</w:t>
            </w:r>
          </w:p>
        </w:tc>
        <w:tc>
          <w:tcPr>
            <w:tcW w:w="2643"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小学教育（数学）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30"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郭培</w:t>
            </w:r>
          </w:p>
        </w:tc>
        <w:tc>
          <w:tcPr>
            <w:tcW w:w="1856"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sz w:val="21"/>
                <w:szCs w:val="21"/>
              </w:rPr>
            </w:pPr>
            <w:r>
              <w:rPr>
                <w:rFonts w:hint="eastAsia" w:ascii="宋体" w:hAnsi="宋体" w:eastAsia="宋体"/>
                <w:sz w:val="21"/>
                <w:szCs w:val="21"/>
              </w:rPr>
              <w:t>一级教师</w:t>
            </w:r>
          </w:p>
        </w:tc>
        <w:tc>
          <w:tcPr>
            <w:tcW w:w="2449" w:type="dxa"/>
            <w:gridSpan w:val="3"/>
            <w:tcBorders>
              <w:top w:val="single" w:color="auto" w:sz="4" w:space="0"/>
              <w:left w:val="single" w:color="auto" w:sz="6" w:space="0"/>
              <w:bottom w:val="single" w:color="auto" w:sz="4" w:space="0"/>
              <w:right w:val="single" w:color="auto" w:sz="4" w:space="0"/>
            </w:tcBorders>
            <w:vAlign w:val="center"/>
          </w:tcPr>
          <w:p>
            <w:pPr>
              <w:spacing w:line="360" w:lineRule="exact"/>
              <w:jc w:val="center"/>
              <w:rPr>
                <w:sz w:val="21"/>
                <w:szCs w:val="21"/>
              </w:rPr>
            </w:pPr>
            <w:r>
              <w:rPr>
                <w:rFonts w:hint="eastAsia" w:ascii="宋体" w:hAnsi="宋体" w:eastAsia="宋体"/>
                <w:sz w:val="21"/>
                <w:szCs w:val="21"/>
              </w:rPr>
              <w:t>青岛宁夏路第二小学</w:t>
            </w:r>
          </w:p>
        </w:tc>
        <w:tc>
          <w:tcPr>
            <w:tcW w:w="2643"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小学教育（英语）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管宏丽</w:t>
            </w:r>
          </w:p>
        </w:tc>
        <w:tc>
          <w:tcPr>
            <w:tcW w:w="1856"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一级教师</w:t>
            </w:r>
          </w:p>
        </w:tc>
        <w:tc>
          <w:tcPr>
            <w:tcW w:w="2449" w:type="dxa"/>
            <w:gridSpan w:val="3"/>
            <w:tcBorders>
              <w:top w:val="single" w:color="auto" w:sz="4" w:space="0"/>
              <w:left w:val="single" w:color="auto" w:sz="6" w:space="0"/>
              <w:bottom w:val="single" w:color="auto" w:sz="4" w:space="0"/>
              <w:right w:val="single" w:color="auto" w:sz="4" w:space="0"/>
            </w:tcBorders>
            <w:vAlign w:val="center"/>
          </w:tcPr>
          <w:p>
            <w:pPr>
              <w:spacing w:line="360" w:lineRule="exact"/>
              <w:jc w:val="center"/>
              <w:rPr>
                <w:sz w:val="21"/>
                <w:szCs w:val="21"/>
              </w:rPr>
            </w:pPr>
            <w:r>
              <w:rPr>
                <w:rFonts w:hint="eastAsia" w:ascii="宋体" w:hAnsi="宋体" w:eastAsia="宋体"/>
                <w:sz w:val="21"/>
                <w:szCs w:val="21"/>
              </w:rPr>
              <w:t>青岛宁夏路第二小学</w:t>
            </w:r>
          </w:p>
        </w:tc>
        <w:tc>
          <w:tcPr>
            <w:tcW w:w="2643"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小学教育（综合实践）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王玮</w:t>
            </w:r>
          </w:p>
        </w:tc>
        <w:tc>
          <w:tcPr>
            <w:tcW w:w="1856"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一级教师</w:t>
            </w:r>
          </w:p>
        </w:tc>
        <w:tc>
          <w:tcPr>
            <w:tcW w:w="2449" w:type="dxa"/>
            <w:gridSpan w:val="3"/>
            <w:tcBorders>
              <w:top w:val="single" w:color="auto" w:sz="4" w:space="0"/>
              <w:left w:val="single" w:color="auto" w:sz="6" w:space="0"/>
              <w:bottom w:val="single" w:color="auto" w:sz="4" w:space="0"/>
              <w:right w:val="single" w:color="auto" w:sz="4" w:space="0"/>
            </w:tcBorders>
            <w:vAlign w:val="center"/>
          </w:tcPr>
          <w:p>
            <w:pPr>
              <w:spacing w:line="360" w:lineRule="exact"/>
              <w:jc w:val="center"/>
              <w:rPr>
                <w:sz w:val="21"/>
                <w:szCs w:val="21"/>
              </w:rPr>
            </w:pPr>
            <w:r>
              <w:rPr>
                <w:rFonts w:hint="eastAsia" w:ascii="宋体" w:hAnsi="宋体" w:eastAsia="宋体"/>
                <w:sz w:val="21"/>
                <w:szCs w:val="21"/>
              </w:rPr>
              <w:t>青岛宁夏路第二小学</w:t>
            </w:r>
          </w:p>
        </w:tc>
        <w:tc>
          <w:tcPr>
            <w:tcW w:w="2643"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小学教育（英语）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52"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刘晓艳</w:t>
            </w:r>
          </w:p>
        </w:tc>
        <w:tc>
          <w:tcPr>
            <w:tcW w:w="1856"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sz w:val="21"/>
                <w:szCs w:val="21"/>
              </w:rPr>
            </w:pPr>
            <w:r>
              <w:rPr>
                <w:rFonts w:hint="eastAsia" w:ascii="宋体" w:hAnsi="宋体" w:eastAsia="宋体"/>
                <w:sz w:val="21"/>
                <w:szCs w:val="21"/>
              </w:rPr>
              <w:t>一级教师</w:t>
            </w:r>
          </w:p>
        </w:tc>
        <w:tc>
          <w:tcPr>
            <w:tcW w:w="2449" w:type="dxa"/>
            <w:gridSpan w:val="3"/>
            <w:tcBorders>
              <w:top w:val="single" w:color="auto" w:sz="4" w:space="0"/>
              <w:left w:val="single" w:color="auto" w:sz="6" w:space="0"/>
              <w:bottom w:val="single" w:color="auto" w:sz="4" w:space="0"/>
              <w:right w:val="single" w:color="auto" w:sz="4" w:space="0"/>
            </w:tcBorders>
            <w:vAlign w:val="center"/>
          </w:tcPr>
          <w:p>
            <w:pPr>
              <w:spacing w:line="360" w:lineRule="exact"/>
              <w:jc w:val="center"/>
              <w:rPr>
                <w:sz w:val="21"/>
                <w:szCs w:val="21"/>
              </w:rPr>
            </w:pPr>
            <w:r>
              <w:rPr>
                <w:rFonts w:hint="eastAsia" w:ascii="宋体" w:hAnsi="宋体" w:eastAsia="宋体"/>
                <w:sz w:val="21"/>
                <w:szCs w:val="21"/>
              </w:rPr>
              <w:t>青岛宁夏路第二小学</w:t>
            </w:r>
          </w:p>
        </w:tc>
        <w:tc>
          <w:tcPr>
            <w:tcW w:w="2643"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小学教育（美术）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114" w:type="dxa"/>
            <w:vMerge w:val="continue"/>
            <w:tcBorders>
              <w:left w:val="single" w:color="auto" w:sz="12" w:space="0"/>
              <w:right w:val="single" w:color="auto" w:sz="6" w:space="0"/>
            </w:tcBorders>
            <w:vAlign w:val="center"/>
          </w:tcPr>
          <w:p>
            <w:pPr>
              <w:spacing w:line="500" w:lineRule="exact"/>
              <w:rPr>
                <w:rFonts w:ascii="宋体" w:hAnsi="宋体" w:eastAsia="宋体"/>
                <w:sz w:val="24"/>
                <w:szCs w:val="24"/>
              </w:rPr>
            </w:pPr>
          </w:p>
        </w:tc>
        <w:tc>
          <w:tcPr>
            <w:tcW w:w="1260" w:type="dxa"/>
            <w:gridSpan w:val="2"/>
            <w:tcBorders>
              <w:top w:val="single" w:color="auto" w:sz="4" w:space="0"/>
              <w:left w:val="single" w:color="auto" w:sz="6" w:space="0"/>
              <w:bottom w:val="single" w:color="auto" w:sz="4" w:space="0"/>
              <w:right w:val="single" w:color="auto" w:sz="6"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刘伟</w:t>
            </w:r>
          </w:p>
        </w:tc>
        <w:tc>
          <w:tcPr>
            <w:tcW w:w="1856" w:type="dxa"/>
            <w:gridSpan w:val="3"/>
            <w:tcBorders>
              <w:top w:val="single" w:color="auto" w:sz="4" w:space="0"/>
              <w:left w:val="single" w:color="auto" w:sz="6" w:space="0"/>
              <w:bottom w:val="single" w:color="auto" w:sz="4" w:space="0"/>
              <w:right w:val="single" w:color="auto" w:sz="6" w:space="0"/>
            </w:tcBorders>
            <w:vAlign w:val="center"/>
          </w:tcPr>
          <w:p>
            <w:pPr>
              <w:spacing w:line="360" w:lineRule="exact"/>
              <w:jc w:val="center"/>
              <w:rPr>
                <w:sz w:val="21"/>
                <w:szCs w:val="21"/>
              </w:rPr>
            </w:pPr>
            <w:r>
              <w:rPr>
                <w:rFonts w:hint="eastAsia" w:ascii="宋体" w:hAnsi="宋体" w:eastAsia="宋体"/>
                <w:sz w:val="21"/>
                <w:szCs w:val="21"/>
              </w:rPr>
              <w:t>一级教师</w:t>
            </w:r>
          </w:p>
        </w:tc>
        <w:tc>
          <w:tcPr>
            <w:tcW w:w="2449" w:type="dxa"/>
            <w:gridSpan w:val="3"/>
            <w:tcBorders>
              <w:top w:val="single" w:color="auto" w:sz="4" w:space="0"/>
              <w:left w:val="single" w:color="auto" w:sz="6" w:space="0"/>
              <w:bottom w:val="single" w:color="auto" w:sz="4" w:space="0"/>
              <w:right w:val="single" w:color="auto" w:sz="4" w:space="0"/>
            </w:tcBorders>
            <w:vAlign w:val="center"/>
          </w:tcPr>
          <w:p>
            <w:pPr>
              <w:spacing w:line="360" w:lineRule="exact"/>
              <w:jc w:val="center"/>
              <w:rPr>
                <w:sz w:val="21"/>
                <w:szCs w:val="21"/>
              </w:rPr>
            </w:pPr>
            <w:r>
              <w:rPr>
                <w:rFonts w:hint="eastAsia" w:ascii="宋体" w:hAnsi="宋体" w:eastAsia="宋体"/>
                <w:sz w:val="21"/>
                <w:szCs w:val="21"/>
              </w:rPr>
              <w:t>青岛宁夏路第二小学</w:t>
            </w:r>
          </w:p>
        </w:tc>
        <w:tc>
          <w:tcPr>
            <w:tcW w:w="2643"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小学教育（语文）</w:t>
            </w:r>
          </w:p>
        </w:tc>
      </w:tr>
    </w:tbl>
    <w:p>
      <w:pPr>
        <w:snapToGrid w:val="0"/>
        <w:spacing w:before="100" w:beforeAutospacing="1" w:after="100" w:afterAutospacing="1" w:line="500" w:lineRule="exact"/>
        <w:ind w:left="316"/>
        <w:rPr>
          <w:rFonts w:ascii="黑体" w:eastAsia="黑体"/>
          <w:sz w:val="30"/>
          <w:szCs w:val="30"/>
        </w:rPr>
      </w:pPr>
    </w:p>
    <w:p>
      <w:pPr>
        <w:snapToGrid w:val="0"/>
        <w:spacing w:before="100" w:beforeAutospacing="1" w:after="100" w:afterAutospacing="1" w:line="500" w:lineRule="exact"/>
        <w:rPr>
          <w:rFonts w:ascii="黑体" w:eastAsia="黑体"/>
          <w:sz w:val="30"/>
          <w:szCs w:val="30"/>
        </w:rPr>
      </w:pPr>
      <w:r>
        <w:rPr>
          <w:rFonts w:hint="eastAsia" w:ascii="黑体" w:eastAsia="黑体"/>
          <w:sz w:val="30"/>
          <w:szCs w:val="30"/>
        </w:rPr>
        <w:t>二、课题研究论证报告</w:t>
      </w:r>
    </w:p>
    <w:tbl>
      <w:tblPr>
        <w:tblStyle w:val="5"/>
        <w:tblW w:w="9372" w:type="dxa"/>
        <w:tblInd w:w="-5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
        <w:gridCol w:w="9306"/>
        <w:gridCol w:w="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330" w:hRule="atLeast"/>
        </w:trPr>
        <w:tc>
          <w:tcPr>
            <w:tcW w:w="9322" w:type="dxa"/>
            <w:gridSpan w:val="2"/>
            <w:tcBorders>
              <w:top w:val="single" w:color="auto" w:sz="12" w:space="0"/>
              <w:left w:val="single" w:color="auto" w:sz="12" w:space="0"/>
              <w:bottom w:val="single" w:color="auto" w:sz="4" w:space="0"/>
              <w:right w:val="single" w:color="auto" w:sz="12" w:space="0"/>
            </w:tcBorders>
            <w:vAlign w:val="center"/>
          </w:tcPr>
          <w:p>
            <w:pPr>
              <w:spacing w:before="100" w:beforeAutospacing="1" w:after="100" w:afterAutospacing="1" w:line="500" w:lineRule="exact"/>
              <w:rPr>
                <w:rFonts w:ascii="楷体_GB2312" w:hAnsi="宋体"/>
                <w:sz w:val="28"/>
                <w:szCs w:val="28"/>
              </w:rPr>
            </w:pPr>
            <w:r>
              <w:rPr>
                <w:rFonts w:hint="eastAsia" w:ascii="楷体_GB2312" w:hAnsi="宋体"/>
                <w:sz w:val="28"/>
                <w:szCs w:val="28"/>
              </w:rPr>
              <w:t>⒈ 课题提出的背景（500～1000字）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2117" w:hRule="atLeast"/>
        </w:trPr>
        <w:tc>
          <w:tcPr>
            <w:tcW w:w="9322" w:type="dxa"/>
            <w:gridSpan w:val="2"/>
            <w:tcBorders>
              <w:top w:val="single" w:color="auto" w:sz="4" w:space="0"/>
              <w:left w:val="single" w:color="auto" w:sz="12" w:space="0"/>
              <w:bottom w:val="single" w:color="auto" w:sz="12" w:space="0"/>
              <w:right w:val="single" w:color="auto" w:sz="12" w:space="0"/>
            </w:tcBorders>
            <w:vAlign w:val="center"/>
          </w:tcPr>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教育的根本任务是立德树人，</w:t>
            </w:r>
            <w:r>
              <w:rPr>
                <w:rFonts w:asciiTheme="minorEastAsia" w:hAnsiTheme="minorEastAsia" w:eastAsiaTheme="minorEastAsia"/>
                <w:sz w:val="21"/>
                <w:szCs w:val="21"/>
              </w:rPr>
              <w:t>党的十九大报告中提出“努力让每个孩子都能享有公平而有质量的教育”，这成为新时代我国教育改革</w:t>
            </w:r>
            <w:r>
              <w:rPr>
                <w:rFonts w:hint="eastAsia" w:asciiTheme="minorEastAsia" w:hAnsiTheme="minorEastAsia" w:eastAsiaTheme="minorEastAsia"/>
                <w:sz w:val="21"/>
                <w:szCs w:val="21"/>
              </w:rPr>
              <w:t>发展</w:t>
            </w:r>
            <w:r>
              <w:rPr>
                <w:rFonts w:asciiTheme="minorEastAsia" w:hAnsiTheme="minorEastAsia" w:eastAsiaTheme="minorEastAsia"/>
                <w:sz w:val="21"/>
                <w:szCs w:val="21"/>
              </w:rPr>
              <w:t>目标。</w:t>
            </w:r>
            <w:r>
              <w:rPr>
                <w:rFonts w:hint="eastAsia" w:asciiTheme="minorEastAsia" w:hAnsiTheme="minorEastAsia" w:eastAsiaTheme="minorEastAsia"/>
                <w:sz w:val="21"/>
                <w:szCs w:val="21"/>
              </w:rPr>
              <w:t>在新教育目标下要求学校教育要面向全体，满足学生个体的学习需要。然而在全面实施课程的过程中，遇到了许多现实的问题，学生个体间的差异明显，学科间的深度学习方式各不相同，教育现状做不到满足每个学生。</w:t>
            </w:r>
            <w:r>
              <w:rPr>
                <w:rFonts w:asciiTheme="minorEastAsia" w:hAnsiTheme="minorEastAsia" w:eastAsiaTheme="minorEastAsia"/>
                <w:sz w:val="21"/>
                <w:szCs w:val="21"/>
              </w:rPr>
              <w:t>要实现面向每个孩子的公平而有质量的教育就必须基于学生的个体差异</w:t>
            </w:r>
            <w:r>
              <w:rPr>
                <w:rFonts w:hint="eastAsia" w:asciiTheme="minorEastAsia" w:hAnsiTheme="minorEastAsia" w:eastAsiaTheme="minorEastAsia"/>
                <w:sz w:val="21"/>
                <w:szCs w:val="21"/>
              </w:rPr>
              <w:t>，</w:t>
            </w:r>
            <w:r>
              <w:rPr>
                <w:rFonts w:asciiTheme="minorEastAsia" w:hAnsiTheme="minorEastAsia" w:eastAsiaTheme="minorEastAsia"/>
                <w:sz w:val="21"/>
                <w:szCs w:val="21"/>
              </w:rPr>
              <w:t>就必须推进</w:t>
            </w:r>
            <w:r>
              <w:rPr>
                <w:rFonts w:hint="eastAsia" w:asciiTheme="minorEastAsia" w:hAnsiTheme="minorEastAsia" w:eastAsiaTheme="minorEastAsia"/>
                <w:sz w:val="21"/>
                <w:szCs w:val="21"/>
              </w:rPr>
              <w:t>学习</w:t>
            </w:r>
            <w:r>
              <w:rPr>
                <w:rFonts w:asciiTheme="minorEastAsia" w:hAnsiTheme="minorEastAsia" w:eastAsiaTheme="minorEastAsia"/>
                <w:sz w:val="21"/>
                <w:szCs w:val="21"/>
              </w:rPr>
              <w:t>过程中的深度学习</w:t>
            </w:r>
            <w:r>
              <w:rPr>
                <w:rFonts w:hint="eastAsia" w:asciiTheme="minorEastAsia" w:hAnsiTheme="minorEastAsia" w:eastAsiaTheme="minorEastAsia"/>
                <w:sz w:val="21"/>
                <w:szCs w:val="21"/>
              </w:rPr>
              <w:t>。</w:t>
            </w:r>
          </w:p>
          <w:p>
            <w:pPr>
              <w:pStyle w:val="8"/>
              <w:numPr>
                <w:ilvl w:val="0"/>
                <w:numId w:val="1"/>
              </w:numPr>
              <w:spacing w:line="400" w:lineRule="exact"/>
              <w:ind w:firstLineChars="0"/>
              <w:rPr>
                <w:rFonts w:asciiTheme="minorEastAsia" w:hAnsiTheme="minorEastAsia" w:eastAsiaTheme="minorEastAsia"/>
                <w:spacing w:val="8"/>
                <w:kern w:val="0"/>
                <w:szCs w:val="21"/>
              </w:rPr>
            </w:pPr>
            <w:r>
              <w:rPr>
                <w:rFonts w:hint="eastAsia" w:asciiTheme="minorEastAsia" w:hAnsiTheme="minorEastAsia" w:eastAsiaTheme="minorEastAsia"/>
                <w:spacing w:val="8"/>
                <w:kern w:val="0"/>
                <w:szCs w:val="21"/>
              </w:rPr>
              <w:t>学生个体学习存在差异</w:t>
            </w:r>
          </w:p>
          <w:p>
            <w:pPr>
              <w:spacing w:line="400" w:lineRule="exact"/>
              <w:ind w:firstLine="339"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学校位于青岛市东部居住人口比较密集的位置，生源大，班级授课属于大班教学。学生多，</w:t>
            </w:r>
          </w:p>
          <w:p>
            <w:pPr>
              <w:spacing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教学空间和时间有限，学生个体的学习特点、学习风格、智力起点、优势与不足存在明显差异，如果教师不能直面学生个体的学习差异，就难以照顾到每个学生，难以满足个体学生的学习需求，致使学生的个体差异分化明显。</w:t>
            </w:r>
          </w:p>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目前学生结构中仍存有行为偏常生、学困生、智力超常生等特殊需要的学生群体，他们的的差异教育需求尤显突出。</w:t>
            </w:r>
          </w:p>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2.不同学科深度学习方式有差异</w:t>
            </w:r>
          </w:p>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同学科深度学习方式是有差异的。语文学科偏重于批注式学习，追问式学习，批判式学习，应用式学习；数学学科的深度学习突出数学实验、高阶思维、发现式等学习方式；英语学科突出情境学习方式、任务驱动教学方式等等。学科的差异化教学方式的不同导致教学效果的不同，各个学科在着力推进学生的深度学习同时，根据学科差异找准融汇点，探寻共同的学习方式，实现更深入的学习，达成教育合力尤显重要。</w:t>
            </w:r>
          </w:p>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3.全纳教育理念关注每个孩子</w:t>
            </w:r>
          </w:p>
          <w:p>
            <w:pPr>
              <w:spacing w:line="36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的育人理念是全纳教育，珍惜并善待每个学生。前期的研究一直围绕其进行并开展，取得了良好的教学成效，但是部分学习有差异的学生学习效果不明显。对于客观存在的学生个体差异，我们认为它们既是“差异”，更是“资源”。每位学生都有着不同的知识背景与生活经验，所以面向全体绝不是让每个学生都获得一样的发展，而是让每个学生都在自己原有的基础上获得发展。从这个意义上来说，差异是教学的前提，教师应该在认识和了解差异、尊重和利用差异的基础上展开教学活动。对于学校及教师而言，直面差异正是实现教育公平的前提。</w:t>
            </w:r>
          </w:p>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针对此现状，学校将开展“基于差异的深度学习促进策略的研究”课题，深入课题研究、进行新的突破。课题关注个体差异及学科差异，关注个体需求，创设能引导学生主动参与的教育环境，注重培养学生的独立性和自主性，引导学生质疑、调查、探究，尊重学生的人格，培养学生掌握和运用知识的态度和能力，使每个学生都能得到充分的发展，学科的核心素养得到落实。</w:t>
            </w:r>
          </w:p>
          <w:p>
            <w:pPr>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学校教育将面向全体学生，科学优化育人模式，更好地帮助每一位学生全面而有个性地发展，善待学生差异，实现个体培优目标，由“以生为本”到“关注特需”的递进，提升“全纳教育”的教育品质。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750" w:hRule="atLeast"/>
        </w:trPr>
        <w:tc>
          <w:tcPr>
            <w:tcW w:w="9322" w:type="dxa"/>
            <w:gridSpan w:val="2"/>
            <w:tcBorders>
              <w:top w:val="single" w:color="auto" w:sz="6" w:space="0"/>
              <w:left w:val="single" w:color="auto" w:sz="12" w:space="0"/>
              <w:bottom w:val="single" w:color="auto" w:sz="4" w:space="0"/>
              <w:right w:val="single" w:color="auto" w:sz="12" w:space="0"/>
            </w:tcBorders>
          </w:tcPr>
          <w:p>
            <w:pPr>
              <w:spacing w:before="192" w:after="192" w:line="500" w:lineRule="exact"/>
              <w:rPr>
                <w:rFonts w:ascii="楷体_GB2312" w:hAnsi="宋体"/>
                <w:sz w:val="28"/>
                <w:szCs w:val="28"/>
              </w:rPr>
            </w:pPr>
            <w:r>
              <w:rPr>
                <w:rFonts w:hint="eastAsia" w:ascii="楷体_GB2312" w:hAnsi="宋体"/>
                <w:sz w:val="28"/>
                <w:szCs w:val="28"/>
              </w:rPr>
              <w:t>2.本课题在国内外同一研究领域的现状（趋势分析）（2000字）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1970" w:hRule="atLeast"/>
        </w:trPr>
        <w:tc>
          <w:tcPr>
            <w:tcW w:w="9322" w:type="dxa"/>
            <w:gridSpan w:val="2"/>
            <w:tcBorders>
              <w:top w:val="single" w:color="auto" w:sz="6" w:space="0"/>
              <w:left w:val="single" w:color="auto" w:sz="12" w:space="0"/>
              <w:bottom w:val="single" w:color="auto" w:sz="4" w:space="0"/>
              <w:right w:val="single" w:color="auto" w:sz="12" w:space="0"/>
            </w:tcBorders>
          </w:tcPr>
          <w:p>
            <w:pPr>
              <w:snapToGrid w:val="0"/>
              <w:spacing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（一）国内外同一研究领域的现状与趋势分析</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国外研究现状：</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布鲁姆的目标分类学</w:t>
            </w:r>
            <w:r>
              <w:rPr>
                <w:rFonts w:hint="eastAsia" w:asciiTheme="minorEastAsia" w:hAnsiTheme="minorEastAsia" w:eastAsiaTheme="minorEastAsia"/>
                <w:sz w:val="21"/>
                <w:szCs w:val="21"/>
              </w:rPr>
              <w:t>。</w:t>
            </w:r>
            <w:r>
              <w:rPr>
                <w:rFonts w:asciiTheme="minorEastAsia" w:hAnsiTheme="minorEastAsia" w:eastAsiaTheme="minorEastAsia"/>
                <w:sz w:val="21"/>
                <w:szCs w:val="21"/>
              </w:rPr>
              <w:t>布鲁姆在他的目标分类学提出的不同水平的思维，这可以明确多样化的学习活动具有多大的挑战性。根据目标分类学所设计出来的教学所具有挑战性的，具有挑战性的学习可以促进所有学生以较高水平的思维方式进行学习；和基础课程紧密相关的教学指导，具有一定深度和广度的教学内容。按照布鲁姆的目标分类学，思维可以分为六个层次：知识、理解、应用、分析、评价、综合。知识是最低水平的思维，要求学生回忆先前学习过的事实或其他信息；理解要求学生战士他们对所学知识的理解；应用要求学生用他们所学的知识做事；分析要求学生剖析并批判性地审视某个想法；评价指根据一系列指标判断某事物的价值；综合是把事物用新的或其他方式重新组合。六个层次的思维水平是教师进行差异教学的基础，给学生不同难度的挑战，这六层次更是进行差异评估的基础。</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加德纳的多元智能理论霍华德·加德纳（Howard Gardner）的多元智能（Multiple Intelligences）理论，加德纳在批判了智商测试的前提下，提出了人是具有多种智能的，具体包括：语言智能、逻辑-数学智能、空间智能、音乐智能、身体运动智能、人际智能、自我认识智能等，多元智能的提出，为我们展示了一个新的视角来可看待人的能力。在教学中教师根据多元智能理论，以赞许的眼光看学生，发现学生的优势智能，扬长补短；同样评估的时候要考虑的多元智能的理论，评估的方式要适合每个学生的优势智能。</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3.杜威的教育思想并不灌输固定的概念和教条，而是倡导教会学生如何自己学习及思考，有利于培养学生的批判精神、创新精神和解决问题的能力，对展开深度学习的教学实践有着重要的指导意义。</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20</w:t>
            </w:r>
            <w:r>
              <w:rPr>
                <w:rFonts w:hint="eastAsia" w:asciiTheme="minorEastAsia" w:hAnsiTheme="minorEastAsia" w:eastAsiaTheme="minorEastAsia"/>
                <w:sz w:val="21"/>
                <w:szCs w:val="21"/>
              </w:rPr>
              <w:t>世纪五十年代中期始，</w:t>
            </w:r>
            <w:r>
              <w:rPr>
                <w:rFonts w:asciiTheme="minorEastAsia" w:hAnsiTheme="minorEastAsia" w:eastAsiaTheme="minorEastAsia"/>
                <w:sz w:val="21"/>
                <w:szCs w:val="21"/>
              </w:rPr>
              <w:t>FerenceMarton</w:t>
            </w:r>
            <w:r>
              <w:rPr>
                <w:rFonts w:hint="eastAsia" w:asciiTheme="minorEastAsia" w:hAnsiTheme="minorEastAsia" w:eastAsiaTheme="minorEastAsia"/>
                <w:sz w:val="21"/>
                <w:szCs w:val="21"/>
              </w:rPr>
              <w:t>和</w:t>
            </w:r>
            <w:r>
              <w:rPr>
                <w:rFonts w:asciiTheme="minorEastAsia" w:hAnsiTheme="minorEastAsia" w:eastAsiaTheme="minorEastAsia"/>
                <w:sz w:val="21"/>
                <w:szCs w:val="21"/>
              </w:rPr>
              <w:t>Roger Saljo</w:t>
            </w:r>
            <w:r>
              <w:rPr>
                <w:rFonts w:hint="eastAsia" w:asciiTheme="minorEastAsia" w:hAnsiTheme="minorEastAsia" w:eastAsiaTheme="minorEastAsia"/>
                <w:sz w:val="21"/>
                <w:szCs w:val="21"/>
              </w:rPr>
              <w:t>进行了学习的表层方式和深层方式的研究。最早提出了“深度学习</w:t>
            </w:r>
            <w:r>
              <w:rPr>
                <w:rFonts w:asciiTheme="minorEastAsia" w:hAnsiTheme="minorEastAsia" w:eastAsiaTheme="minorEastAsia"/>
                <w:sz w:val="21"/>
                <w:szCs w:val="21"/>
              </w:rPr>
              <w:t>"</w:t>
            </w:r>
            <w:r>
              <w:rPr>
                <w:rFonts w:hint="eastAsia" w:asciiTheme="minorEastAsia" w:hAnsiTheme="minorEastAsia" w:eastAsiaTheme="minorEastAsia"/>
                <w:sz w:val="21"/>
                <w:szCs w:val="21"/>
              </w:rPr>
              <w:t>的新概念，并进行了详细地阐述。在两位学者的理论框架中，采用深层方式进行学习的学生，对学习有内在兴趣，注重理解，强调意义，集中注意于学习内容各部分之间的联系，系统地陈述问题或概念的整体结构假设。</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国内研究现状：</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1.我国古代许多关于“学习方法</w:t>
            </w:r>
            <w:r>
              <w:rPr>
                <w:rFonts w:asciiTheme="minorEastAsia" w:hAnsiTheme="minorEastAsia" w:eastAsiaTheme="minorEastAsia"/>
                <w:sz w:val="21"/>
                <w:szCs w:val="21"/>
              </w:rPr>
              <w:t>"</w:t>
            </w:r>
            <w:r>
              <w:rPr>
                <w:rFonts w:hint="eastAsia" w:asciiTheme="minorEastAsia" w:hAnsiTheme="minorEastAsia" w:eastAsiaTheme="minorEastAsia"/>
                <w:sz w:val="21"/>
                <w:szCs w:val="21"/>
              </w:rPr>
              <w:t>的论述事实上都有对基于差异深度学习思想的阐述。《论语》中的“学而不思则罔，思而不学则殆</w:t>
            </w:r>
            <w:r>
              <w:rPr>
                <w:rFonts w:asciiTheme="minorEastAsia" w:hAnsiTheme="minorEastAsia" w:eastAsiaTheme="minorEastAsia"/>
                <w:sz w:val="21"/>
                <w:szCs w:val="21"/>
              </w:rPr>
              <w:t>"</w:t>
            </w:r>
            <w:r>
              <w:rPr>
                <w:rFonts w:hint="eastAsia" w:asciiTheme="minorEastAsia" w:hAnsiTheme="minorEastAsia" w:eastAsiaTheme="minorEastAsia"/>
                <w:sz w:val="21"/>
                <w:szCs w:val="21"/>
              </w:rPr>
              <w:t>，宋朝朱熹的“学贵有疑，小疑则小进、大疑则大进</w:t>
            </w:r>
            <w:r>
              <w:rPr>
                <w:rFonts w:asciiTheme="minorEastAsia" w:hAnsiTheme="minorEastAsia" w:eastAsiaTheme="minorEastAsia"/>
                <w:sz w:val="21"/>
                <w:szCs w:val="21"/>
              </w:rPr>
              <w:t>"</w:t>
            </w:r>
            <w:r>
              <w:rPr>
                <w:rFonts w:hint="eastAsia" w:asciiTheme="minorEastAsia" w:hAnsiTheme="minorEastAsia" w:eastAsiaTheme="minorEastAsia"/>
                <w:sz w:val="21"/>
                <w:szCs w:val="21"/>
              </w:rPr>
              <w:t>，这些谈的都是深度学习问题，关乎学习的方式、方法、思促进深度学习的教学策略研究维等。《学记》中的“学然后知不足，教然后知困。知不足，然后能自反也；知困，然后能自强也。故日：教学相长也</w:t>
            </w:r>
            <w:r>
              <w:rPr>
                <w:rFonts w:asciiTheme="minorEastAsia" w:hAnsiTheme="minorEastAsia" w:eastAsiaTheme="minorEastAsia"/>
                <w:sz w:val="21"/>
                <w:szCs w:val="21"/>
              </w:rPr>
              <w:t>"</w:t>
            </w:r>
            <w:r>
              <w:rPr>
                <w:rFonts w:hint="eastAsia" w:asciiTheme="minorEastAsia" w:hAnsiTheme="minorEastAsia" w:eastAsiaTheme="minorEastAsia"/>
                <w:sz w:val="21"/>
                <w:szCs w:val="21"/>
              </w:rPr>
              <w:t>更是阐明了深度学习与教学策略的关系。深度学习这个概念也许是新的，但有关深度学习的思想却早已零碎却耀眼地存在于我们宝贵的传统教学思想之中。</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2.国内进行的相关改革都集中在各个学科的差异教学研究上，都是结合各自学科的特点进行的差异教学研究，体现了学科的特殊性。这些资源为差异教学深度学习的策略研究提供了很好的范例。</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3.我国古代许多关于“学习方法</w:t>
            </w:r>
            <w:r>
              <w:rPr>
                <w:rFonts w:asciiTheme="minorEastAsia" w:hAnsiTheme="minorEastAsia" w:eastAsiaTheme="minorEastAsia"/>
                <w:sz w:val="21"/>
                <w:szCs w:val="21"/>
              </w:rPr>
              <w:t>"</w:t>
            </w:r>
            <w:r>
              <w:rPr>
                <w:rFonts w:hint="eastAsia" w:asciiTheme="minorEastAsia" w:hAnsiTheme="minorEastAsia" w:eastAsiaTheme="minorEastAsia"/>
                <w:sz w:val="21"/>
                <w:szCs w:val="21"/>
              </w:rPr>
              <w:t>的论述事实上都有对基于差异深度学习思想的阐述。《论语》中的“学而不思则罔，思而不学则殆</w:t>
            </w:r>
            <w:r>
              <w:rPr>
                <w:rFonts w:asciiTheme="minorEastAsia" w:hAnsiTheme="minorEastAsia" w:eastAsiaTheme="minorEastAsia"/>
                <w:sz w:val="21"/>
                <w:szCs w:val="21"/>
              </w:rPr>
              <w:t>"</w:t>
            </w:r>
            <w:r>
              <w:rPr>
                <w:rFonts w:hint="eastAsia" w:asciiTheme="minorEastAsia" w:hAnsiTheme="minorEastAsia" w:eastAsiaTheme="minorEastAsia"/>
                <w:sz w:val="21"/>
                <w:szCs w:val="21"/>
              </w:rPr>
              <w:t>，宋朝朱熹的“学贵有疑，小疑则小进、大疑则大进</w:t>
            </w:r>
            <w:r>
              <w:rPr>
                <w:rFonts w:asciiTheme="minorEastAsia" w:hAnsiTheme="minorEastAsia" w:eastAsiaTheme="minorEastAsia"/>
                <w:sz w:val="21"/>
                <w:szCs w:val="21"/>
              </w:rPr>
              <w:t>"</w:t>
            </w:r>
            <w:r>
              <w:rPr>
                <w:rFonts w:hint="eastAsia" w:asciiTheme="minorEastAsia" w:hAnsiTheme="minorEastAsia" w:eastAsiaTheme="minorEastAsia"/>
                <w:sz w:val="21"/>
                <w:szCs w:val="21"/>
              </w:rPr>
              <w:t>，这些谈的都是深度学习问题，关乎学习的方式、方法、思促进深度学习的教学策略研究维等。《学记》中的“学然后知不足，教然后知困。知不足，然后能自反也；知困，然后能自强也。故日：教学相长也</w:t>
            </w:r>
            <w:r>
              <w:rPr>
                <w:rFonts w:asciiTheme="minorEastAsia" w:hAnsiTheme="minorEastAsia" w:eastAsiaTheme="minorEastAsia"/>
                <w:sz w:val="21"/>
                <w:szCs w:val="21"/>
              </w:rPr>
              <w:t>"</w:t>
            </w:r>
            <w:r>
              <w:rPr>
                <w:rFonts w:hint="eastAsia" w:asciiTheme="minorEastAsia" w:hAnsiTheme="minorEastAsia" w:eastAsiaTheme="minorEastAsia"/>
                <w:sz w:val="21"/>
                <w:szCs w:val="21"/>
              </w:rPr>
              <w:t>更是阐明了深度学习与教学策略的关系。深度学习这个概念也许是新的，但有关深度学习的思想却早已零碎却耀眼地存在于我们宝贵的传统教学思想之中。</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 xml:space="preserve">2005 </w:t>
            </w:r>
            <w:r>
              <w:rPr>
                <w:rFonts w:hint="eastAsia" w:asciiTheme="minorEastAsia" w:hAnsiTheme="minorEastAsia" w:eastAsiaTheme="minorEastAsia"/>
                <w:sz w:val="21"/>
                <w:szCs w:val="21"/>
              </w:rPr>
              <w:t>年是上海师范大学黎加厚教授在《促进学生深度学习》一文中最早在我国引入深度学习的概念，他指出深度学习是指在理解的基础上，学习者批判性地学习新思想和新知识，将他有的知识迁移到新的情境中去，做出决策并解决问题的学习。</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通过上述研究现状，我们发现基于差异的深度学习促进策略的研究</w:t>
            </w:r>
            <w:r>
              <w:rPr>
                <w:rFonts w:asciiTheme="minorEastAsia" w:hAnsiTheme="minorEastAsia" w:eastAsiaTheme="minorEastAsia"/>
                <w:sz w:val="21"/>
                <w:szCs w:val="21"/>
              </w:rPr>
              <w:t>在小学</w:t>
            </w:r>
            <w:r>
              <w:rPr>
                <w:rFonts w:hint="eastAsia" w:asciiTheme="minorEastAsia" w:hAnsiTheme="minorEastAsia" w:eastAsiaTheme="minorEastAsia"/>
                <w:sz w:val="21"/>
                <w:szCs w:val="21"/>
              </w:rPr>
              <w:t>教育</w:t>
            </w:r>
            <w:r>
              <w:rPr>
                <w:rFonts w:asciiTheme="minorEastAsia" w:hAnsiTheme="minorEastAsia" w:eastAsiaTheme="minorEastAsia"/>
                <w:sz w:val="21"/>
                <w:szCs w:val="21"/>
              </w:rPr>
              <w:t>这一块还比较薄弱，</w:t>
            </w:r>
            <w:r>
              <w:rPr>
                <w:rFonts w:hint="eastAsia" w:asciiTheme="minorEastAsia" w:hAnsiTheme="minorEastAsia" w:eastAsiaTheme="minorEastAsia"/>
                <w:sz w:val="21"/>
                <w:szCs w:val="21"/>
              </w:rPr>
              <w:t>差异</w:t>
            </w:r>
            <w:r>
              <w:rPr>
                <w:rFonts w:asciiTheme="minorEastAsia" w:hAnsiTheme="minorEastAsia" w:eastAsiaTheme="minorEastAsia"/>
                <w:sz w:val="21"/>
                <w:szCs w:val="21"/>
              </w:rPr>
              <w:t>教学</w:t>
            </w:r>
            <w:r>
              <w:rPr>
                <w:rFonts w:hint="eastAsia" w:asciiTheme="minorEastAsia" w:hAnsiTheme="minorEastAsia" w:eastAsiaTheme="minorEastAsia"/>
                <w:sz w:val="21"/>
                <w:szCs w:val="21"/>
              </w:rPr>
              <w:t>无论在教育理论上还是教育实践中都处在萌芽阶段，什么是基于差异的深度学习、实现差异化深度学习的策略、策略的开展对教学的要求等概念、操作面上都鲜有探索者，目前基本处于有“做法”没“策略”的阶段。</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（二）本课题预计有哪些突破</w:t>
            </w:r>
          </w:p>
          <w:p>
            <w:pPr>
              <w:snapToGrid w:val="0"/>
              <w:spacing w:line="400" w:lineRule="exact"/>
              <w:ind w:firstLine="452"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基于差异的深度学习促进策略的研究是围绕全纳教育理念，通过多元化策略，开展学生差异性发展教学。本课题研究预计</w:t>
            </w:r>
            <w:r>
              <w:rPr>
                <w:rFonts w:asciiTheme="minorEastAsia" w:hAnsiTheme="minorEastAsia" w:eastAsiaTheme="minorEastAsia"/>
                <w:sz w:val="21"/>
                <w:szCs w:val="21"/>
              </w:rPr>
              <w:t>从具体操作层面形成基于学生个体差异</w:t>
            </w:r>
            <w:r>
              <w:rPr>
                <w:rFonts w:hint="eastAsia" w:asciiTheme="minorEastAsia" w:hAnsiTheme="minorEastAsia" w:eastAsiaTheme="minorEastAsia"/>
                <w:sz w:val="21"/>
                <w:szCs w:val="21"/>
              </w:rPr>
              <w:t>以及</w:t>
            </w:r>
            <w:r>
              <w:rPr>
                <w:rFonts w:asciiTheme="minorEastAsia" w:hAnsiTheme="minorEastAsia" w:eastAsiaTheme="minorEastAsia"/>
                <w:sz w:val="21"/>
                <w:szCs w:val="21"/>
              </w:rPr>
              <w:t>学科差异的深度学习推进策略</w:t>
            </w:r>
            <w:r>
              <w:rPr>
                <w:rFonts w:hint="eastAsia" w:asciiTheme="minorEastAsia" w:hAnsiTheme="minorEastAsia" w:eastAsiaTheme="minorEastAsia"/>
                <w:sz w:val="21"/>
                <w:szCs w:val="21"/>
              </w:rPr>
              <w:t>。</w:t>
            </w:r>
          </w:p>
          <w:p>
            <w:pPr>
              <w:spacing w:line="360" w:lineRule="exact"/>
              <w:ind w:firstLine="452" w:firstLineChars="200"/>
              <w:rPr>
                <w:rFonts w:cs="仿宋" w:asciiTheme="minorEastAsia" w:hAnsiTheme="minorEastAsia" w:eastAsiaTheme="minorEastAsia"/>
                <w:sz w:val="21"/>
                <w:szCs w:val="21"/>
              </w:rPr>
            </w:pPr>
            <w:r>
              <w:rPr>
                <w:rFonts w:hint="eastAsia" w:asciiTheme="minorEastAsia" w:hAnsiTheme="minorEastAsia" w:eastAsiaTheme="minorEastAsia"/>
                <w:sz w:val="21"/>
                <w:szCs w:val="21"/>
              </w:rPr>
              <w:t>课题将重点围绕深度学习的四个要素：即单元学习主题（中心任务：学生应该学习什么内容？）、深度学习目标（活动预期：学生在学习中应得到什么？）、深度学习活动（学习过程：学生应该怎样参与学习？）、持续性评价（达成反馈：学生是否达成学习目标？）从学习目标和</w:t>
            </w:r>
            <w:r>
              <w:rPr>
                <w:rFonts w:hint="eastAsia" w:cs="仿宋" w:asciiTheme="minorEastAsia" w:hAnsiTheme="minorEastAsia" w:eastAsiaTheme="minorEastAsia"/>
                <w:sz w:val="21"/>
                <w:szCs w:val="21"/>
              </w:rPr>
              <w:t>学习方式两个方面进行突破，从而</w:t>
            </w:r>
            <w:r>
              <w:rPr>
                <w:rFonts w:hint="eastAsia" w:asciiTheme="minorEastAsia" w:hAnsiTheme="minorEastAsia" w:eastAsiaTheme="minorEastAsia"/>
                <w:sz w:val="21"/>
                <w:szCs w:val="21"/>
              </w:rPr>
              <w:t>激发学生内驱力，实现个体的全面发展，形成以点带线，以线成面，以面成体的多方位发展的学校教育新局面。</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636" w:hRule="atLeast"/>
        </w:trPr>
        <w:tc>
          <w:tcPr>
            <w:tcW w:w="9322" w:type="dxa"/>
            <w:gridSpan w:val="2"/>
            <w:tcBorders>
              <w:top w:val="single" w:color="auto" w:sz="4" w:space="0"/>
              <w:left w:val="single" w:color="auto" w:sz="12" w:space="0"/>
              <w:bottom w:val="single" w:color="auto" w:sz="4" w:space="0"/>
              <w:right w:val="single" w:color="auto" w:sz="12" w:space="0"/>
            </w:tcBorders>
          </w:tcPr>
          <w:p>
            <w:pPr>
              <w:spacing w:before="192" w:after="192" w:line="500" w:lineRule="exact"/>
              <w:rPr>
                <w:rFonts w:ascii="楷体_GB2312" w:hAnsi="宋体"/>
                <w:sz w:val="28"/>
                <w:szCs w:val="28"/>
              </w:rPr>
            </w:pPr>
            <w:r>
              <w:rPr>
                <w:rFonts w:hint="eastAsia" w:ascii="楷体_GB2312" w:hAnsi="宋体"/>
                <w:sz w:val="28"/>
                <w:szCs w:val="28"/>
              </w:rPr>
              <w:t>⒊　课题研究的实践意义与理论价值（500字左右）</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3619" w:hRule="atLeast"/>
        </w:trPr>
        <w:tc>
          <w:tcPr>
            <w:tcW w:w="9322" w:type="dxa"/>
            <w:gridSpan w:val="2"/>
            <w:tcBorders>
              <w:top w:val="single" w:color="auto" w:sz="4" w:space="0"/>
              <w:left w:val="single" w:color="auto" w:sz="12" w:space="0"/>
              <w:right w:val="single" w:color="auto" w:sz="12" w:space="0"/>
            </w:tcBorders>
          </w:tcPr>
          <w:p>
            <w:pPr>
              <w:autoSpaceDE w:val="0"/>
              <w:autoSpaceDN w:val="0"/>
              <w:spacing w:before="60" w:after="40"/>
              <w:ind w:left="320" w:right="60" w:firstLine="113" w:firstLineChars="5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实践意义：</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实现学校全纳教育理念的全面实施。本课题以各学科不同的学习方式为依托，开展交融并进的学习方式，学生在同方式、同系列的学习中，认识自我、建立自信，促进学生在原有水平上得到发展，在探求知识的本质上进行深入学习，使学生的学习能力得到质的飞跃。</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促进学生学习方式的创新。整合学生资源，基于差异细化学生学习目标，以目标为引领，改革以学生为本体的学习方式，创新、重组，以最优质的学习方式满足学生个体的学习需要，使学生人人有所获，有所发展。</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促进学校品牌的发展。学校建校已有二十七年的时间，逐步发展成为东部的一所近千人的大校，本课题是提高学校自身发展教学质量的需要，是实现教育公平的需要。不仅可以推进学校成为市南区东部品牌名校，同时可以以此打造一支专业化的教师队伍，使教师实现自身的个人发展价值，使学校中的学生全面发展和多样化发展。</w:t>
            </w:r>
          </w:p>
          <w:p>
            <w:pPr>
              <w:autoSpaceDE w:val="0"/>
              <w:autoSpaceDN w:val="0"/>
              <w:spacing w:before="60" w:after="40"/>
              <w:ind w:left="320" w:right="60" w:firstLine="113" w:firstLineChars="5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理论价值：</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丰富差异教学理论。本课题的研究将各个学科的学习方式进行整合，找准各学科相通的学习方式，以最优、最有效的学习方式来满足不同学生的学习需要，以差异教学提升教学质量，以策略促进学生发展，实现每个学生学科核心素养的落实。</w:t>
            </w:r>
          </w:p>
          <w:p>
            <w:pPr>
              <w:autoSpaceDE w:val="0"/>
              <w:autoSpaceDN w:val="0"/>
              <w:spacing w:line="240" w:lineRule="auto"/>
              <w:ind w:firstLine="452" w:firstLineChars="200"/>
              <w:jc w:val="lef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丰富深度学习理论。学生围绕具有挑战性的学习主题，积极参与、在学习过程中得到发展。通过新的学习方式努力去揭示知识的本质属性，关注创造层面的高阶思维的学习。同时通过思维的发展促进综合能力的提高，使学习者得到尽可能完善的发展。</w:t>
            </w:r>
          </w:p>
          <w:p>
            <w:pPr>
              <w:autoSpaceDE w:val="0"/>
              <w:autoSpaceDN w:val="0"/>
              <w:spacing w:before="60" w:after="40"/>
              <w:ind w:right="60"/>
              <w:jc w:val="left"/>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50" w:type="dxa"/>
          <w:trHeight w:val="375" w:hRule="atLeast"/>
        </w:trPr>
        <w:tc>
          <w:tcPr>
            <w:tcW w:w="9322" w:type="dxa"/>
            <w:gridSpan w:val="2"/>
            <w:tcBorders>
              <w:top w:val="single" w:color="auto" w:sz="4" w:space="0"/>
              <w:left w:val="single" w:color="auto" w:sz="12" w:space="0"/>
              <w:bottom w:val="single" w:color="auto" w:sz="4" w:space="0"/>
              <w:right w:val="single" w:color="auto" w:sz="12" w:space="0"/>
            </w:tcBorders>
          </w:tcPr>
          <w:p>
            <w:pPr>
              <w:pStyle w:val="4"/>
              <w:spacing w:line="500" w:lineRule="exact"/>
              <w:rPr>
                <w:rFonts w:ascii="楷体_GB2312" w:hAnsi="宋体" w:eastAsia="楷体_GB2312"/>
                <w:sz w:val="28"/>
                <w:szCs w:val="28"/>
              </w:rPr>
            </w:pPr>
            <w:r>
              <w:rPr>
                <w:rFonts w:hint="eastAsia" w:ascii="楷体_GB2312" w:hAnsi="宋体" w:eastAsia="楷体_GB2312"/>
                <w:sz w:val="28"/>
                <w:szCs w:val="28"/>
              </w:rPr>
              <w:t>4.　研究目标与研究内容（研究内容的分解与具体化，含子课题的设计）课程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autoSpaceDE w:val="0"/>
              <w:autoSpaceDN w:val="0"/>
              <w:spacing w:before="60" w:after="40"/>
              <w:ind w:right="60"/>
              <w:jc w:val="left"/>
              <w:rPr>
                <w:rFonts w:asciiTheme="minorEastAsia" w:hAnsiTheme="minorEastAsia" w:eastAsiaTheme="minorEastAsia"/>
                <w:sz w:val="21"/>
                <w:szCs w:val="21"/>
              </w:rPr>
            </w:pP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研究目标一：对小学阶段学生个体差异进行全面、动态测查的方法与策略研究</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研究内容</w:t>
            </w:r>
            <w:r>
              <w:rPr>
                <w:rFonts w:hint="eastAsia" w:asciiTheme="minorEastAsia" w:hAnsiTheme="minorEastAsia" w:eastAsiaTheme="minorEastAsia"/>
                <w:sz w:val="21"/>
                <w:szCs w:val="21"/>
              </w:rPr>
              <w:t>：</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1.确定针对小学生学习特点、学习风格、智力起点、优势与不足等差异的测查量表的适用性。基于差异，开展全面调查形成资源库，记录学生成长情况。</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2.对测查汇总后的小学生个体差异的不同情况进行分类梳理</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研究目标二</w:t>
            </w:r>
            <w:r>
              <w:rPr>
                <w:rFonts w:hint="eastAsia" w:asciiTheme="minorEastAsia" w:hAnsiTheme="minorEastAsia" w:eastAsiaTheme="minorEastAsia"/>
                <w:sz w:val="21"/>
                <w:szCs w:val="21"/>
              </w:rPr>
              <w:t>：基于学科课程标准，梳理学科核心素养及促进深度学习的学习目标。</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研究内容：</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1.依据学科课程标准，梳理学科的核心素养及促进深度学习的学习目标，全面了解各学科学习目标的差异。</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2.通过逆向学习设计确定单元及课时学习目标，促进从结果→条件的学习设计，推动深度学习。</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研究目标三：形成基于学科差异的深度学习推进策略。基于学科差异改革教学方式，注重学科融合，采用个性化的学习方式，使学生能够自主学习，乐于探究，勤于思考和反思，从而发展学生的可持续学习能力。</w:t>
            </w:r>
          </w:p>
          <w:p>
            <w:pPr>
              <w:autoSpaceDE w:val="0"/>
              <w:autoSpaceDN w:val="0"/>
              <w:spacing w:before="60" w:after="40"/>
              <w:ind w:right="60" w:firstLine="339" w:firstLineChars="15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研究内容：</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.建构系统、多样化的学习方式．如分层目标的选择性制定，学习内容的超市化管理，学生个体学习资源的私人订制等。</w:t>
            </w:r>
          </w:p>
          <w:p>
            <w:pPr>
              <w:autoSpaceDE w:val="0"/>
              <w:autoSpaceDN w:val="0"/>
              <w:spacing w:before="60" w:after="40"/>
              <w:ind w:right="60" w:firstLine="339" w:firstLineChars="150"/>
              <w:jc w:val="left"/>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基于差异关注学科融合进行深度学习。将学科如：语文、数学、音乐等学科素材融入主题教学过程中对教材进行了二次重组，实现知识的补充和主题深化。学科融合从学生熟悉的题材入手；采取开放式问题导入形式开始；加入时事素材补充教学内容。</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．基于差异运用思维导图学习方式进行深度学习。通过分层级的线条连接各知识点，搭建各个知识点间的内在关联，促进知识的整合。</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.基于学科差异运用 “体验学习”方式，注重实践性、过程性、发展性。</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研究目标四：形成基于学生个体差异的深度学习推进策略。满足个性化发展需求，实现学生个体的多元化发展。</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研究内容：</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1.基于差异采取同伴互助的学习方式进行深度学习。学生师徒制——兵教兵（可以通过座位走位实现）。力求所有学生都能参与和关注到，课上、课下、交往、互动，通过合作学习进行深度学习。</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2.基于差异采用个性化实施的学习方式深度学习。学生建立错题本（补差）搭建表现平台，课后学生制作微课或微视频，教师建立错题库、微视频库。通过以上多种途径，丰富学习资源，满足个体的发展需要。</w:t>
            </w:r>
          </w:p>
          <w:p>
            <w:pPr>
              <w:autoSpaceDE w:val="0"/>
              <w:autoSpaceDN w:val="0"/>
              <w:spacing w:before="60" w:after="40"/>
              <w:ind w:right="60" w:firstLine="45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基于差异采用模块作业的学习方式进行深度学习。按照学生发展需求，我们将作业划分了四大模块：趣味模块（包括：游戏式作业、情境式作业、绘画式作业），主动模块（包括：“自助餐”式作业、“导演”式作业），合作模块（包括：亲情型作业、友情型作业），开放模块（包括：操作实践性作业、调查式作业）。这四个模块的作业设计涵盖面“全”，“广”。全纳学生的每个方面，满足不同层次学生的学习发展需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pStyle w:val="4"/>
              <w:spacing w:line="500" w:lineRule="exact"/>
              <w:rPr>
                <w:rFonts w:ascii="楷体_GB2312" w:hAnsi="宋体" w:eastAsia="楷体_GB2312"/>
                <w:sz w:val="28"/>
                <w:szCs w:val="28"/>
              </w:rPr>
            </w:pPr>
            <w:r>
              <w:rPr>
                <w:rFonts w:hint="eastAsia" w:ascii="楷体_GB2312" w:hAnsi="宋体" w:eastAsia="楷体_GB2312"/>
                <w:sz w:val="28"/>
                <w:szCs w:val="28"/>
              </w:rPr>
              <w:t>5.研究过程设计（阶段划分、阶段达成目标、阶段研究内容、阶段成果形式）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pStyle w:val="8"/>
              <w:numPr>
                <w:ilvl w:val="0"/>
                <w:numId w:val="2"/>
              </w:numPr>
              <w:autoSpaceDE w:val="0"/>
              <w:autoSpaceDN w:val="0"/>
              <w:spacing w:before="60" w:after="40"/>
              <w:ind w:right="60" w:firstLineChars="0"/>
              <w:jc w:val="left"/>
              <w:rPr>
                <w:rFonts w:asciiTheme="minorEastAsia" w:hAnsiTheme="minorEastAsia" w:eastAsiaTheme="minorEastAsia"/>
                <w:spacing w:val="8"/>
                <w:kern w:val="0"/>
                <w:szCs w:val="21"/>
              </w:rPr>
            </w:pPr>
            <w:r>
              <w:rPr>
                <w:rFonts w:hint="eastAsia" w:asciiTheme="minorEastAsia" w:hAnsiTheme="minorEastAsia" w:eastAsiaTheme="minorEastAsia"/>
                <w:spacing w:val="8"/>
                <w:kern w:val="0"/>
                <w:szCs w:val="21"/>
              </w:rPr>
              <w:t>准备阶段</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1.阶段达成时间：2018年3月——2018年9月</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2.阶段达成目标：全员参与，广纳课题意见，学习课题的相关内容，相关教师完成项目立项。</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 阶段研究内容：</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（1）课题的申报立项。</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（2）负责人制定研究方案。</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（3）成立课题研究组织。</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（4）明确课题研究规范和课题组成员各自的任务。</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（5）组织课题组成员学习相关理论和研究方法。</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（6）现代教学技术设备，电脑、信息网的设置与准备。</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4.阶段成果形式：课题的申报立项，理论学习资料以及学习体会，相关教师完成项目立项。</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（二）实施阶段</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1.阶段达成时间：2018年10月——2019年12月</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2.阶段达成目标： 基于学生的差异改革学习方式，进行深度学习，形成相关策略。以理论指导课题实践，以策略促进学生发展，以实践完善理论。</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 阶段研究内容：</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（1）观测学生差异特质、个性特点与思维的发展，做好阶段性的调查统计。</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（2）梳理各个学科的育人目标，进行学生个体的调查与研究形成资源库，记录学生成长情况。</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（3）开展运用个性化学习方式的实践与研究。</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（4）开展个体的个性化需求的实践与研究。</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（5）加强实践指导，组织课例研讨，引导实验。</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（6）撰写教学反思、阶段性总结，不断调整策略，深化提高。</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4.阶段成果形式：学生、家长调查问卷，实验阶段报告，教师研究论文集、教师案例集，学生作品文集等。</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（三）总结阶段</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1.阶段达成时间：2020年1月——2020年7月</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2.阶段达成目标：整理课题的相关研究内容，使之成体系序列化，实现推广与普及的价值。</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 阶段研究内容：</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（1）撰写并修改课题研究报告。</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（2）研究成果归类整理。</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（3）上报专家对研究成果进行鉴定评估。</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4.阶段成果形式：学生发展表现的物化成果、差异课例光盘、差异教育活动图片光盘。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592" w:hRule="atLeast"/>
        </w:trPr>
        <w:tc>
          <w:tcPr>
            <w:tcW w:w="9356" w:type="dxa"/>
            <w:gridSpan w:val="2"/>
            <w:tcBorders>
              <w:top w:val="single" w:color="auto" w:sz="4" w:space="0"/>
              <w:left w:val="single" w:color="auto" w:sz="12" w:space="0"/>
              <w:right w:val="single" w:color="auto" w:sz="12" w:space="0"/>
            </w:tcBorders>
          </w:tcPr>
          <w:p>
            <w:pPr>
              <w:pStyle w:val="4"/>
              <w:spacing w:line="500" w:lineRule="exact"/>
              <w:rPr>
                <w:rFonts w:ascii="楷体_GB2312" w:hAnsi="宋体"/>
                <w:sz w:val="28"/>
                <w:szCs w:val="28"/>
              </w:rPr>
            </w:pPr>
            <w:r>
              <w:rPr>
                <w:rFonts w:hint="eastAsia" w:ascii="楷体_GB2312" w:hAnsi="宋体" w:eastAsia="楷体_GB2312"/>
                <w:sz w:val="28"/>
                <w:szCs w:val="28"/>
              </w:rPr>
              <w:t xml:space="preserve">6.　研究方法设计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课题将综合运用行动研究法、文献研究法、经验总结法。</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通过文献研究法把握课题研究现状，明确课题研究方向。通过差异教学的学习，了解差异教学的情况。通过教育理论的学习，了解差异教育理论和深度学习理论。通过网络、杂志和报刊等媒体，了解掌握国内外相关领域的研究现状和趋势，进一步明确本课题的研究方向。</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2.运用行动研究法开展基于差异的深度学习学习方式的策略提炼，实现全纳教学理念。</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3.经验总结法。撰写课题研究报告。</w:t>
            </w:r>
          </w:p>
          <w:p>
            <w:pPr>
              <w:autoSpaceDE w:val="0"/>
              <w:autoSpaceDN w:val="0"/>
              <w:spacing w:before="60" w:after="40"/>
              <w:ind w:right="60"/>
              <w:jc w:val="left"/>
              <w:rPr>
                <w:rFonts w:ascii="楷体_GB2312" w:hAnsi="宋体"/>
                <w:sz w:val="28"/>
                <w:szCs w:val="28"/>
              </w:rPr>
            </w:pPr>
            <w:r>
              <w:rPr>
                <w:rFonts w:hint="eastAsia" w:asciiTheme="minorEastAsia" w:hAnsiTheme="minorEastAsia" w:eastAsiaTheme="minorEastAsia"/>
                <w:sz w:val="21"/>
                <w:szCs w:val="21"/>
              </w:rPr>
              <w:t>4.实例教学法、观察及情景法、合作讨论法等研究方法，努力实现学校的办学理念珍惜并善待每一个学生，使每个学生在学校的学习生活中得到基本的知识、技能、思想、方法，在成长的过程中得到需要和满足。</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pStyle w:val="4"/>
              <w:spacing w:line="500" w:lineRule="exact"/>
              <w:rPr>
                <w:rFonts w:ascii="楷体_GB2312" w:hAnsi="宋体" w:eastAsia="楷体_GB2312"/>
                <w:sz w:val="28"/>
                <w:szCs w:val="28"/>
              </w:rPr>
            </w:pPr>
            <w:r>
              <w:rPr>
                <w:rFonts w:hint="eastAsia" w:ascii="楷体_GB2312" w:hAnsi="宋体" w:eastAsia="楷体_GB2312"/>
                <w:sz w:val="28"/>
                <w:szCs w:val="28"/>
              </w:rPr>
              <w:t xml:space="preserve">7.　完成本课题研究任务的保证措施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确保基础条件</w:t>
            </w:r>
          </w:p>
          <w:p>
            <w:pPr>
              <w:autoSpaceDE w:val="0"/>
              <w:autoSpaceDN w:val="0"/>
              <w:spacing w:before="60" w:after="40"/>
              <w:ind w:right="60"/>
              <w:jc w:val="left"/>
              <w:rPr>
                <w:rFonts w:asciiTheme="minorEastAsia" w:hAnsiTheme="minorEastAsia" w:eastAsiaTheme="minorEastAsia"/>
                <w:sz w:val="21"/>
                <w:szCs w:val="21"/>
              </w:rPr>
            </w:pPr>
            <w:r>
              <w:rPr>
                <w:rFonts w:asciiTheme="minorEastAsia" w:hAnsiTheme="minorEastAsia" w:eastAsiaTheme="minorEastAsia"/>
                <w:sz w:val="21"/>
                <w:szCs w:val="21"/>
              </w:rPr>
              <w:t>我校丰富的教育科研经验和较强的师资力量，为进行该课题的研究提供了充足的条件。我校组织部分学生开展专题研究性学习，取得了一定的成果，已经结题，为培养学生探究能力打下了坚实的基础。</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确保课题研究时间落实</w:t>
            </w:r>
          </w:p>
          <w:p>
            <w:pPr>
              <w:autoSpaceDE w:val="0"/>
              <w:autoSpaceDN w:val="0"/>
              <w:spacing w:before="60" w:after="40"/>
              <w:ind w:right="60"/>
              <w:jc w:val="left"/>
              <w:rPr>
                <w:rFonts w:asciiTheme="minorEastAsia" w:hAnsiTheme="minorEastAsia" w:eastAsiaTheme="minorEastAsia"/>
                <w:sz w:val="21"/>
                <w:szCs w:val="21"/>
              </w:rPr>
            </w:pPr>
            <w:r>
              <w:rPr>
                <w:rFonts w:asciiTheme="minorEastAsia" w:hAnsiTheme="minorEastAsia" w:eastAsiaTheme="minorEastAsia"/>
                <w:sz w:val="21"/>
                <w:szCs w:val="21"/>
              </w:rPr>
              <w:t>课题组成员每围绕课题内容进行广泛学习，对课堂教学中各类问题深入探讨，积极发挥课题中专家的理论指导作用，确保全员参与，形成合力。</w:t>
            </w:r>
            <w:r>
              <w:rPr>
                <w:rFonts w:hint="eastAsia" w:asciiTheme="minorEastAsia" w:hAnsiTheme="minorEastAsia" w:eastAsiaTheme="minorEastAsia"/>
                <w:sz w:val="21"/>
                <w:szCs w:val="21"/>
              </w:rPr>
              <w:t>除此学校还将行动和研究结合起来，根据课题研究的目标和内容，大胆实践，积极探索，及时对实践经验进行总结升华，使之上升为理性认识，再运用获得的理性认识进一步指导实践，推动实践活动不断深入，不断创新。这样循环往复，螺旋上升，最终探索出适合我校持续发展的富有特色学校文化建设。</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确保经费投入</w:t>
            </w:r>
          </w:p>
          <w:p>
            <w:pPr>
              <w:autoSpaceDE w:val="0"/>
              <w:autoSpaceDN w:val="0"/>
              <w:spacing w:before="60" w:after="40"/>
              <w:ind w:right="60"/>
              <w:jc w:val="left"/>
              <w:rPr>
                <w:rFonts w:asciiTheme="minorEastAsia" w:hAnsiTheme="minorEastAsia" w:eastAsiaTheme="minorEastAsia"/>
                <w:sz w:val="21"/>
                <w:szCs w:val="21"/>
              </w:rPr>
            </w:pPr>
            <w:r>
              <w:rPr>
                <w:rFonts w:asciiTheme="minorEastAsia" w:hAnsiTheme="minorEastAsia" w:eastAsiaTheme="minorEastAsia"/>
                <w:sz w:val="21"/>
                <w:szCs w:val="21"/>
              </w:rPr>
              <w:t>学校每年拨出一定的经费投入课题研究，为研究的顺利实施创设宽松、良好的氛围。</w:t>
            </w:r>
            <w:r>
              <w:rPr>
                <w:rFonts w:hint="eastAsia" w:asciiTheme="minorEastAsia" w:hAnsiTheme="minorEastAsia" w:eastAsiaTheme="minorEastAsia"/>
                <w:sz w:val="21"/>
                <w:szCs w:val="21"/>
              </w:rPr>
              <w:t>除此，学校邀请专家开展培训指导、为教师的课题研究与学习培训提供便利，组织课题教师参加外出培训与交流活动。因此，本课题的研究内容和目标通过努力是完全可以达成的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pStyle w:val="4"/>
              <w:spacing w:line="500" w:lineRule="exact"/>
              <w:rPr>
                <w:rFonts w:ascii="楷体_GB2312" w:hAnsi="宋体" w:eastAsia="楷体_GB2312"/>
                <w:sz w:val="28"/>
                <w:szCs w:val="28"/>
              </w:rPr>
            </w:pPr>
            <w:r>
              <w:rPr>
                <w:rFonts w:hint="eastAsia" w:ascii="楷体_GB2312" w:hAnsi="宋体" w:eastAsia="楷体_GB2312"/>
                <w:sz w:val="28"/>
                <w:szCs w:val="28"/>
              </w:rPr>
              <w:t>8.　预期研究成果（成果形式及预期完成时间）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wBefore w:w="16" w:type="dxa"/>
          <w:trHeight w:val="375" w:hRule="atLeast"/>
        </w:trPr>
        <w:tc>
          <w:tcPr>
            <w:tcW w:w="9356" w:type="dxa"/>
            <w:gridSpan w:val="2"/>
            <w:tcBorders>
              <w:top w:val="single" w:color="auto" w:sz="4" w:space="0"/>
              <w:left w:val="single" w:color="auto" w:sz="12" w:space="0"/>
              <w:bottom w:val="single" w:color="auto" w:sz="4" w:space="0"/>
              <w:right w:val="single" w:color="auto" w:sz="12" w:space="0"/>
            </w:tcBorders>
          </w:tcPr>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成果形式：</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1.文本类成果：</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（1）实验结题报告；</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（2）教师研究论文集、教师案例集；</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（3）学生作品文集等。</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2.音像制品类成果：</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（1）差异课例光盘；</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（2）差异教育活动图片；</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3.学生发展类成果：</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（1）学生、家长调查问卷； </w:t>
            </w: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（2）学生发展表现的物化成果。</w:t>
            </w:r>
          </w:p>
          <w:p>
            <w:pPr>
              <w:autoSpaceDE w:val="0"/>
              <w:autoSpaceDN w:val="0"/>
              <w:spacing w:before="60" w:after="40"/>
              <w:ind w:right="60"/>
              <w:jc w:val="left"/>
              <w:rPr>
                <w:rFonts w:asciiTheme="minorEastAsia" w:hAnsiTheme="minorEastAsia" w:eastAsiaTheme="minorEastAsia"/>
                <w:sz w:val="21"/>
                <w:szCs w:val="21"/>
              </w:rPr>
            </w:pPr>
          </w:p>
          <w:p>
            <w:pPr>
              <w:autoSpaceDE w:val="0"/>
              <w:autoSpaceDN w:val="0"/>
              <w:spacing w:before="60" w:after="40"/>
              <w:ind w:right="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预期完成时间：2020.6</w:t>
            </w:r>
          </w:p>
          <w:p>
            <w:pPr>
              <w:autoSpaceDE w:val="0"/>
              <w:autoSpaceDN w:val="0"/>
              <w:spacing w:before="60" w:after="40"/>
              <w:ind w:right="60"/>
              <w:jc w:val="left"/>
              <w:rPr>
                <w:rFonts w:asciiTheme="minorEastAsia" w:hAnsiTheme="minorEastAsia" w:eastAsiaTheme="minorEastAsia"/>
                <w:sz w:val="21"/>
                <w:szCs w:val="21"/>
              </w:rPr>
            </w:pPr>
          </w:p>
          <w:p>
            <w:pPr>
              <w:autoSpaceDE w:val="0"/>
              <w:autoSpaceDN w:val="0"/>
              <w:spacing w:before="60" w:after="40"/>
              <w:ind w:right="60"/>
              <w:jc w:val="left"/>
              <w:rPr>
                <w:rFonts w:asciiTheme="minorEastAsia" w:hAnsiTheme="minorEastAsia" w:eastAsiaTheme="minorEastAsia"/>
                <w:sz w:val="21"/>
                <w:szCs w:val="21"/>
              </w:rPr>
            </w:pPr>
          </w:p>
        </w:tc>
      </w:tr>
    </w:tbl>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rPr>
          <w:rFonts w:ascii="黑体" w:eastAsia="黑体"/>
          <w:sz w:val="30"/>
          <w:szCs w:val="30"/>
        </w:rPr>
      </w:pPr>
    </w:p>
    <w:p>
      <w:pPr>
        <w:snapToGrid w:val="0"/>
        <w:spacing w:before="100" w:beforeAutospacing="1" w:after="100" w:afterAutospacing="1" w:line="360" w:lineRule="exact"/>
        <w:rPr>
          <w:rFonts w:ascii="黑体" w:eastAsia="黑体"/>
          <w:sz w:val="30"/>
          <w:szCs w:val="30"/>
        </w:rPr>
      </w:pPr>
      <w:r>
        <w:rPr>
          <w:rFonts w:hint="eastAsia" w:ascii="黑体" w:eastAsia="黑体"/>
          <w:sz w:val="30"/>
          <w:szCs w:val="30"/>
        </w:rPr>
        <w:t>三、评审意见</w:t>
      </w:r>
    </w:p>
    <w:tbl>
      <w:tblPr>
        <w:tblStyle w:val="5"/>
        <w:tblpPr w:leftFromText="180" w:rightFromText="180" w:vertAnchor="text" w:horzAnchor="margin" w:tblpY="437"/>
        <w:tblW w:w="9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1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80" w:type="dxa"/>
            <w:tcBorders>
              <w:top w:val="single" w:color="auto" w:sz="18" w:space="0"/>
              <w:left w:val="single" w:color="auto" w:sz="18" w:space="0"/>
              <w:bottom w:val="single" w:color="auto" w:sz="12" w:space="0"/>
              <w:right w:val="single" w:color="auto" w:sz="18" w:space="0"/>
            </w:tcBorders>
            <w:vAlign w:val="center"/>
          </w:tcPr>
          <w:p>
            <w:pPr>
              <w:spacing w:before="100" w:beforeAutospacing="1" w:after="100" w:afterAutospacing="1" w:line="360" w:lineRule="exact"/>
              <w:rPr>
                <w:sz w:val="24"/>
                <w:szCs w:val="24"/>
              </w:rPr>
            </w:pPr>
            <w:r>
              <w:rPr>
                <w:rFonts w:hint="eastAsia"/>
              </w:rPr>
              <w:t>⒈课题承担人所在单位意见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8" w:hRule="atLeast"/>
        </w:trPr>
        <w:tc>
          <w:tcPr>
            <w:tcW w:w="9180" w:type="dxa"/>
            <w:tcBorders>
              <w:top w:val="single" w:color="auto" w:sz="6" w:space="0"/>
              <w:left w:val="single" w:color="auto" w:sz="18" w:space="0"/>
              <w:bottom w:val="single" w:color="auto" w:sz="6" w:space="0"/>
              <w:right w:val="single" w:color="auto" w:sz="18" w:space="0"/>
            </w:tcBorders>
          </w:tcPr>
          <w:p>
            <w:pPr>
              <w:spacing w:before="192" w:after="192" w:line="360" w:lineRule="exact"/>
            </w:pPr>
          </w:p>
          <w:p>
            <w:pPr>
              <w:spacing w:before="192" w:after="192" w:line="360" w:lineRule="exact"/>
            </w:pPr>
          </w:p>
          <w:p>
            <w:pPr>
              <w:spacing w:before="192" w:after="192" w:line="360" w:lineRule="exact"/>
            </w:pPr>
          </w:p>
          <w:p>
            <w:pPr>
              <w:spacing w:before="192" w:after="192" w:line="360" w:lineRule="exact"/>
              <w:ind w:firstLine="2520" w:firstLineChars="750"/>
            </w:pPr>
            <w:r>
              <w:rPr>
                <w:rFonts w:hint="eastAsia"/>
              </w:rPr>
              <w:t>单位盖章负责人（签字）：</w:t>
            </w:r>
          </w:p>
          <w:p>
            <w:pPr>
              <w:spacing w:before="192" w:after="192" w:line="360" w:lineRule="exact"/>
              <w:ind w:right="672" w:firstLine="5712" w:firstLineChars="1700"/>
              <w:rPr>
                <w:sz w:val="24"/>
                <w:szCs w:val="24"/>
              </w:rPr>
            </w:pPr>
            <w:r>
              <w:rPr>
                <w:rFonts w:hint="eastAsia"/>
              </w:rPr>
              <w:t>年月日</w:t>
            </w:r>
          </w:p>
        </w:tc>
      </w:tr>
    </w:tbl>
    <w:p>
      <w:pPr>
        <w:rPr>
          <w:vanish/>
        </w:rPr>
      </w:pPr>
    </w:p>
    <w:tbl>
      <w:tblPr>
        <w:tblStyle w:val="5"/>
        <w:tblpPr w:leftFromText="180" w:rightFromText="180" w:vertAnchor="page" w:horzAnchor="margin" w:tblpY="625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180" w:type="dxa"/>
            <w:tcBorders>
              <w:top w:val="single" w:color="auto" w:sz="6" w:space="0"/>
              <w:left w:val="single" w:color="auto" w:sz="18" w:space="0"/>
              <w:right w:val="single" w:color="auto" w:sz="18" w:space="0"/>
            </w:tcBorders>
          </w:tcPr>
          <w:p>
            <w:pPr>
              <w:snapToGrid w:val="0"/>
              <w:spacing w:before="100" w:beforeAutospacing="1" w:after="100" w:afterAutospacing="1" w:line="360" w:lineRule="exact"/>
              <w:ind w:firstLine="336" w:firstLineChars="100"/>
              <w:rPr>
                <w:rFonts w:ascii="黑体" w:eastAsia="黑体"/>
                <w:sz w:val="30"/>
                <w:szCs w:val="30"/>
              </w:rPr>
            </w:pPr>
            <w:r>
              <w:rPr>
                <w:rFonts w:hint="eastAsia"/>
              </w:rPr>
              <w:t>2.区（市）教科所意见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9180" w:type="dxa"/>
            <w:tcBorders>
              <w:left w:val="single" w:color="auto" w:sz="18" w:space="0"/>
              <w:right w:val="single" w:color="auto" w:sz="18" w:space="0"/>
            </w:tcBorders>
          </w:tcPr>
          <w:p>
            <w:pPr>
              <w:snapToGrid w:val="0"/>
              <w:spacing w:before="100" w:beforeAutospacing="1" w:after="100" w:afterAutospacing="1" w:line="360" w:lineRule="exact"/>
              <w:ind w:firstLine="316" w:firstLineChars="100"/>
              <w:rPr>
                <w:rFonts w:ascii="黑体" w:eastAsia="黑体"/>
                <w:sz w:val="30"/>
                <w:szCs w:val="30"/>
              </w:rPr>
            </w:pPr>
          </w:p>
          <w:p>
            <w:pPr>
              <w:snapToGrid w:val="0"/>
              <w:spacing w:before="100" w:beforeAutospacing="1" w:after="100" w:afterAutospacing="1" w:line="360" w:lineRule="exact"/>
              <w:rPr>
                <w:rFonts w:ascii="黑体" w:eastAsia="黑体"/>
                <w:sz w:val="30"/>
                <w:szCs w:val="30"/>
              </w:rPr>
            </w:pPr>
          </w:p>
          <w:p>
            <w:pPr>
              <w:snapToGrid w:val="0"/>
              <w:spacing w:before="100" w:beforeAutospacing="1" w:after="100" w:afterAutospacing="1" w:line="360" w:lineRule="exact"/>
              <w:rPr>
                <w:rFonts w:ascii="黑体" w:eastAsia="黑体"/>
                <w:sz w:val="30"/>
                <w:szCs w:val="30"/>
              </w:rPr>
            </w:pPr>
          </w:p>
          <w:p>
            <w:pPr>
              <w:spacing w:before="192" w:after="192" w:line="360" w:lineRule="exact"/>
              <w:ind w:firstLine="2520" w:firstLineChars="750"/>
            </w:pPr>
            <w:r>
              <w:rPr>
                <w:rFonts w:hint="eastAsia"/>
              </w:rPr>
              <w:t>单位盖章负责人（签字）：</w:t>
            </w:r>
          </w:p>
          <w:p>
            <w:pPr>
              <w:snapToGrid w:val="0"/>
              <w:spacing w:before="100" w:beforeAutospacing="1" w:after="100" w:afterAutospacing="1" w:line="360" w:lineRule="exact"/>
              <w:ind w:right="672" w:firstLine="5712" w:firstLineChars="1700"/>
              <w:rPr>
                <w:rFonts w:ascii="黑体" w:eastAsia="黑体"/>
                <w:sz w:val="30"/>
                <w:szCs w:val="30"/>
              </w:rPr>
            </w:pPr>
            <w:r>
              <w:rPr>
                <w:rFonts w:hint="eastAsia"/>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180" w:type="dxa"/>
            <w:tcBorders>
              <w:left w:val="single" w:color="auto" w:sz="18" w:space="0"/>
              <w:right w:val="single" w:color="auto" w:sz="18" w:space="0"/>
            </w:tcBorders>
          </w:tcPr>
          <w:p>
            <w:pPr>
              <w:snapToGrid w:val="0"/>
              <w:spacing w:before="100" w:beforeAutospacing="1" w:after="100" w:afterAutospacing="1" w:line="360" w:lineRule="exact"/>
              <w:ind w:firstLine="336" w:firstLineChars="100"/>
              <w:rPr>
                <w:rFonts w:ascii="黑体" w:eastAsia="黑体"/>
                <w:sz w:val="30"/>
                <w:szCs w:val="30"/>
              </w:rPr>
            </w:pPr>
            <w:r>
              <w:rPr>
                <w:rFonts w:hint="eastAsia"/>
              </w:rPr>
              <w:t>3.市教育科学研究工作领导小组办公室意见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9180" w:type="dxa"/>
            <w:tcBorders>
              <w:left w:val="single" w:color="auto" w:sz="18" w:space="0"/>
              <w:bottom w:val="single" w:color="auto" w:sz="18" w:space="0"/>
              <w:right w:val="single" w:color="auto" w:sz="18" w:space="0"/>
            </w:tcBorders>
          </w:tcPr>
          <w:p>
            <w:pPr>
              <w:snapToGrid w:val="0"/>
              <w:spacing w:before="100" w:beforeAutospacing="1" w:after="100" w:afterAutospacing="1" w:line="360" w:lineRule="exact"/>
              <w:rPr>
                <w:rFonts w:ascii="黑体" w:eastAsia="黑体"/>
                <w:sz w:val="30"/>
                <w:szCs w:val="30"/>
              </w:rPr>
            </w:pPr>
          </w:p>
          <w:p>
            <w:pPr>
              <w:snapToGrid w:val="0"/>
              <w:spacing w:before="100" w:beforeAutospacing="1" w:after="100" w:afterAutospacing="1" w:line="360" w:lineRule="exact"/>
              <w:rPr>
                <w:rFonts w:ascii="黑体" w:eastAsia="黑体"/>
                <w:sz w:val="30"/>
                <w:szCs w:val="30"/>
              </w:rPr>
            </w:pPr>
          </w:p>
          <w:p>
            <w:pPr>
              <w:snapToGrid w:val="0"/>
              <w:spacing w:before="100" w:beforeAutospacing="1" w:after="100" w:afterAutospacing="1" w:line="360" w:lineRule="exact"/>
              <w:rPr>
                <w:rFonts w:ascii="黑体" w:eastAsia="黑体"/>
                <w:sz w:val="30"/>
                <w:szCs w:val="30"/>
              </w:rPr>
            </w:pPr>
          </w:p>
          <w:p>
            <w:pPr>
              <w:spacing w:before="192" w:after="192" w:line="360" w:lineRule="exact"/>
              <w:ind w:firstLine="2520" w:firstLineChars="750"/>
            </w:pPr>
            <w:r>
              <w:rPr>
                <w:rFonts w:hint="eastAsia"/>
              </w:rPr>
              <w:t>单位盖章负责人（签字）：</w:t>
            </w:r>
          </w:p>
          <w:p>
            <w:pPr>
              <w:snapToGrid w:val="0"/>
              <w:spacing w:before="100" w:beforeAutospacing="1" w:after="100" w:afterAutospacing="1" w:line="360" w:lineRule="exact"/>
              <w:ind w:right="672" w:firstLine="5208" w:firstLineChars="1550"/>
              <w:rPr>
                <w:rFonts w:ascii="黑体" w:eastAsia="黑体"/>
                <w:sz w:val="30"/>
                <w:szCs w:val="30"/>
              </w:rPr>
            </w:pPr>
            <w:r>
              <w:rPr>
                <w:rFonts w:hint="eastAsia"/>
              </w:rPr>
              <w:t>年月日</w:t>
            </w:r>
          </w:p>
        </w:tc>
      </w:tr>
    </w:tbl>
    <w:p>
      <w:pPr>
        <w:spacing w:line="400" w:lineRule="exact"/>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0FA3"/>
    <w:multiLevelType w:val="multilevel"/>
    <w:tmpl w:val="4A920FA3"/>
    <w:lvl w:ilvl="0" w:tentative="0">
      <w:start w:val="1"/>
      <w:numFmt w:val="decimal"/>
      <w:lvlText w:val="%1."/>
      <w:lvlJc w:val="left"/>
      <w:pPr>
        <w:ind w:left="812" w:hanging="360"/>
      </w:pPr>
      <w:rPr>
        <w:rFonts w:hint="default"/>
      </w:rPr>
    </w:lvl>
    <w:lvl w:ilvl="1" w:tentative="0">
      <w:start w:val="1"/>
      <w:numFmt w:val="lowerLetter"/>
      <w:lvlText w:val="%2)"/>
      <w:lvlJc w:val="left"/>
      <w:pPr>
        <w:ind w:left="1292" w:hanging="420"/>
      </w:p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1">
    <w:nsid w:val="6BED3B25"/>
    <w:multiLevelType w:val="multilevel"/>
    <w:tmpl w:val="6BED3B2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0"/>
    <w:rsid w:val="00014DEA"/>
    <w:rsid w:val="00015A0A"/>
    <w:rsid w:val="0002213F"/>
    <w:rsid w:val="000342D5"/>
    <w:rsid w:val="00037E00"/>
    <w:rsid w:val="00040C93"/>
    <w:rsid w:val="0004153A"/>
    <w:rsid w:val="00041621"/>
    <w:rsid w:val="00045809"/>
    <w:rsid w:val="00045B4B"/>
    <w:rsid w:val="00051661"/>
    <w:rsid w:val="000558CA"/>
    <w:rsid w:val="000611A5"/>
    <w:rsid w:val="000612EE"/>
    <w:rsid w:val="000615A8"/>
    <w:rsid w:val="00062275"/>
    <w:rsid w:val="000641BD"/>
    <w:rsid w:val="000701A2"/>
    <w:rsid w:val="0007526A"/>
    <w:rsid w:val="00075B97"/>
    <w:rsid w:val="000842D2"/>
    <w:rsid w:val="000878F7"/>
    <w:rsid w:val="000914CE"/>
    <w:rsid w:val="000979D1"/>
    <w:rsid w:val="000A438B"/>
    <w:rsid w:val="000A4C98"/>
    <w:rsid w:val="000A7B2B"/>
    <w:rsid w:val="000B0D85"/>
    <w:rsid w:val="000B5198"/>
    <w:rsid w:val="000B7BD0"/>
    <w:rsid w:val="000C1317"/>
    <w:rsid w:val="000C262C"/>
    <w:rsid w:val="000C273C"/>
    <w:rsid w:val="000C2D90"/>
    <w:rsid w:val="000D009A"/>
    <w:rsid w:val="000D3131"/>
    <w:rsid w:val="000D3974"/>
    <w:rsid w:val="000D6D1E"/>
    <w:rsid w:val="000D6D8D"/>
    <w:rsid w:val="000E01A3"/>
    <w:rsid w:val="000E1D2D"/>
    <w:rsid w:val="000E6DD8"/>
    <w:rsid w:val="000F0CA2"/>
    <w:rsid w:val="000F343A"/>
    <w:rsid w:val="001004F7"/>
    <w:rsid w:val="00102040"/>
    <w:rsid w:val="001066CF"/>
    <w:rsid w:val="001108E9"/>
    <w:rsid w:val="001111B3"/>
    <w:rsid w:val="00111ADD"/>
    <w:rsid w:val="00112383"/>
    <w:rsid w:val="001133BD"/>
    <w:rsid w:val="00114EEE"/>
    <w:rsid w:val="00115346"/>
    <w:rsid w:val="00117A09"/>
    <w:rsid w:val="0013498C"/>
    <w:rsid w:val="001352C9"/>
    <w:rsid w:val="00140D87"/>
    <w:rsid w:val="00141D2F"/>
    <w:rsid w:val="0014647F"/>
    <w:rsid w:val="001468C4"/>
    <w:rsid w:val="00150742"/>
    <w:rsid w:val="00160D73"/>
    <w:rsid w:val="0016268D"/>
    <w:rsid w:val="0016534C"/>
    <w:rsid w:val="001662D8"/>
    <w:rsid w:val="00172640"/>
    <w:rsid w:val="00172DC4"/>
    <w:rsid w:val="001735C9"/>
    <w:rsid w:val="001761BE"/>
    <w:rsid w:val="00180E7E"/>
    <w:rsid w:val="00184D43"/>
    <w:rsid w:val="001850DA"/>
    <w:rsid w:val="00186073"/>
    <w:rsid w:val="00187FA9"/>
    <w:rsid w:val="00193B2D"/>
    <w:rsid w:val="00195E71"/>
    <w:rsid w:val="001A0A0C"/>
    <w:rsid w:val="001A4256"/>
    <w:rsid w:val="001A491B"/>
    <w:rsid w:val="001A5E23"/>
    <w:rsid w:val="001A7B40"/>
    <w:rsid w:val="001B6F32"/>
    <w:rsid w:val="001C0B84"/>
    <w:rsid w:val="001C3F0B"/>
    <w:rsid w:val="001C5DF7"/>
    <w:rsid w:val="001C6CA5"/>
    <w:rsid w:val="001C76DA"/>
    <w:rsid w:val="001D4A15"/>
    <w:rsid w:val="001D63E3"/>
    <w:rsid w:val="001D6C56"/>
    <w:rsid w:val="001E36ED"/>
    <w:rsid w:val="001E6B3C"/>
    <w:rsid w:val="001F1253"/>
    <w:rsid w:val="001F1ADF"/>
    <w:rsid w:val="001F20CF"/>
    <w:rsid w:val="001F2897"/>
    <w:rsid w:val="001F7E02"/>
    <w:rsid w:val="0020756A"/>
    <w:rsid w:val="00212B4A"/>
    <w:rsid w:val="00214B79"/>
    <w:rsid w:val="00214D02"/>
    <w:rsid w:val="00215790"/>
    <w:rsid w:val="00217B74"/>
    <w:rsid w:val="002201CD"/>
    <w:rsid w:val="002267A8"/>
    <w:rsid w:val="00230C5D"/>
    <w:rsid w:val="00232BA7"/>
    <w:rsid w:val="002437A8"/>
    <w:rsid w:val="002437CF"/>
    <w:rsid w:val="00250913"/>
    <w:rsid w:val="00250A3B"/>
    <w:rsid w:val="00251B02"/>
    <w:rsid w:val="0025292E"/>
    <w:rsid w:val="002555B1"/>
    <w:rsid w:val="00255CAD"/>
    <w:rsid w:val="00261FB7"/>
    <w:rsid w:val="00264D66"/>
    <w:rsid w:val="002658E5"/>
    <w:rsid w:val="00266458"/>
    <w:rsid w:val="002721F9"/>
    <w:rsid w:val="002759E7"/>
    <w:rsid w:val="002812E5"/>
    <w:rsid w:val="00285D19"/>
    <w:rsid w:val="002930EF"/>
    <w:rsid w:val="00293537"/>
    <w:rsid w:val="002A0503"/>
    <w:rsid w:val="002A30AF"/>
    <w:rsid w:val="002A3F58"/>
    <w:rsid w:val="002B1278"/>
    <w:rsid w:val="002C39C1"/>
    <w:rsid w:val="002C57B9"/>
    <w:rsid w:val="002C5AA1"/>
    <w:rsid w:val="002C6BC6"/>
    <w:rsid w:val="002D5804"/>
    <w:rsid w:val="002D6715"/>
    <w:rsid w:val="002D765F"/>
    <w:rsid w:val="002E16D3"/>
    <w:rsid w:val="002E3D92"/>
    <w:rsid w:val="002E5298"/>
    <w:rsid w:val="002F5874"/>
    <w:rsid w:val="003005D3"/>
    <w:rsid w:val="00304E9E"/>
    <w:rsid w:val="00310F6C"/>
    <w:rsid w:val="00312616"/>
    <w:rsid w:val="0031461C"/>
    <w:rsid w:val="00314C28"/>
    <w:rsid w:val="00324484"/>
    <w:rsid w:val="003249D7"/>
    <w:rsid w:val="003305A8"/>
    <w:rsid w:val="00330607"/>
    <w:rsid w:val="00330E68"/>
    <w:rsid w:val="00332982"/>
    <w:rsid w:val="003356E0"/>
    <w:rsid w:val="00335CCA"/>
    <w:rsid w:val="00344190"/>
    <w:rsid w:val="00344AA2"/>
    <w:rsid w:val="00346742"/>
    <w:rsid w:val="00353988"/>
    <w:rsid w:val="00355FE9"/>
    <w:rsid w:val="003645FF"/>
    <w:rsid w:val="00365A11"/>
    <w:rsid w:val="003739C7"/>
    <w:rsid w:val="0037691E"/>
    <w:rsid w:val="00380571"/>
    <w:rsid w:val="003814C1"/>
    <w:rsid w:val="00385FDD"/>
    <w:rsid w:val="0038629D"/>
    <w:rsid w:val="003901C7"/>
    <w:rsid w:val="0039445A"/>
    <w:rsid w:val="003A55B6"/>
    <w:rsid w:val="003B35AB"/>
    <w:rsid w:val="003B59F5"/>
    <w:rsid w:val="003D37EF"/>
    <w:rsid w:val="003D508F"/>
    <w:rsid w:val="003E003B"/>
    <w:rsid w:val="003E17D6"/>
    <w:rsid w:val="003F01A6"/>
    <w:rsid w:val="003F2A74"/>
    <w:rsid w:val="004043DF"/>
    <w:rsid w:val="00404EB2"/>
    <w:rsid w:val="004056ED"/>
    <w:rsid w:val="00407C34"/>
    <w:rsid w:val="004144AF"/>
    <w:rsid w:val="004209D2"/>
    <w:rsid w:val="0042707E"/>
    <w:rsid w:val="00432539"/>
    <w:rsid w:val="00432750"/>
    <w:rsid w:val="00432F4B"/>
    <w:rsid w:val="00433E1C"/>
    <w:rsid w:val="0043459D"/>
    <w:rsid w:val="004365CD"/>
    <w:rsid w:val="00437CDE"/>
    <w:rsid w:val="00443EFE"/>
    <w:rsid w:val="004445F7"/>
    <w:rsid w:val="00444E24"/>
    <w:rsid w:val="00445EAD"/>
    <w:rsid w:val="004500AA"/>
    <w:rsid w:val="00454ED1"/>
    <w:rsid w:val="004640B9"/>
    <w:rsid w:val="004729B9"/>
    <w:rsid w:val="00483659"/>
    <w:rsid w:val="0048472E"/>
    <w:rsid w:val="004903FB"/>
    <w:rsid w:val="0049177B"/>
    <w:rsid w:val="004928A7"/>
    <w:rsid w:val="00494F27"/>
    <w:rsid w:val="004954BA"/>
    <w:rsid w:val="004959DD"/>
    <w:rsid w:val="004A520E"/>
    <w:rsid w:val="004B0BF2"/>
    <w:rsid w:val="004B75AE"/>
    <w:rsid w:val="004C0A3B"/>
    <w:rsid w:val="004C18E9"/>
    <w:rsid w:val="004C3DC1"/>
    <w:rsid w:val="004C7560"/>
    <w:rsid w:val="004D3F87"/>
    <w:rsid w:val="004D5E3B"/>
    <w:rsid w:val="004E1FF5"/>
    <w:rsid w:val="004E479F"/>
    <w:rsid w:val="00504D9F"/>
    <w:rsid w:val="00505CD6"/>
    <w:rsid w:val="00505D48"/>
    <w:rsid w:val="0051397F"/>
    <w:rsid w:val="00514015"/>
    <w:rsid w:val="005207AF"/>
    <w:rsid w:val="0052202E"/>
    <w:rsid w:val="00522BC8"/>
    <w:rsid w:val="005264FA"/>
    <w:rsid w:val="00530C00"/>
    <w:rsid w:val="00531B2B"/>
    <w:rsid w:val="00535330"/>
    <w:rsid w:val="00536E43"/>
    <w:rsid w:val="005419C8"/>
    <w:rsid w:val="00542C24"/>
    <w:rsid w:val="00546E90"/>
    <w:rsid w:val="00550555"/>
    <w:rsid w:val="0055293F"/>
    <w:rsid w:val="00555A96"/>
    <w:rsid w:val="00560C3E"/>
    <w:rsid w:val="00563315"/>
    <w:rsid w:val="00574D12"/>
    <w:rsid w:val="00577849"/>
    <w:rsid w:val="005802E1"/>
    <w:rsid w:val="005853BF"/>
    <w:rsid w:val="0058604F"/>
    <w:rsid w:val="005A5563"/>
    <w:rsid w:val="005A79F3"/>
    <w:rsid w:val="005A7F35"/>
    <w:rsid w:val="005B1A10"/>
    <w:rsid w:val="005B315C"/>
    <w:rsid w:val="005B4179"/>
    <w:rsid w:val="005C7025"/>
    <w:rsid w:val="005C73E0"/>
    <w:rsid w:val="005D38DD"/>
    <w:rsid w:val="005E3C98"/>
    <w:rsid w:val="005F4B17"/>
    <w:rsid w:val="005F54F3"/>
    <w:rsid w:val="00600234"/>
    <w:rsid w:val="00600446"/>
    <w:rsid w:val="006039F3"/>
    <w:rsid w:val="00606670"/>
    <w:rsid w:val="00610813"/>
    <w:rsid w:val="00612D52"/>
    <w:rsid w:val="006231C6"/>
    <w:rsid w:val="0063039E"/>
    <w:rsid w:val="0063229C"/>
    <w:rsid w:val="00632B98"/>
    <w:rsid w:val="006360EB"/>
    <w:rsid w:val="00641260"/>
    <w:rsid w:val="0064130E"/>
    <w:rsid w:val="0065186F"/>
    <w:rsid w:val="0065189B"/>
    <w:rsid w:val="006602A4"/>
    <w:rsid w:val="0066085F"/>
    <w:rsid w:val="00670250"/>
    <w:rsid w:val="00671C91"/>
    <w:rsid w:val="00686D03"/>
    <w:rsid w:val="00691584"/>
    <w:rsid w:val="0069236B"/>
    <w:rsid w:val="00693A04"/>
    <w:rsid w:val="00694916"/>
    <w:rsid w:val="00695D10"/>
    <w:rsid w:val="006A560F"/>
    <w:rsid w:val="006A6464"/>
    <w:rsid w:val="006C5172"/>
    <w:rsid w:val="006C547B"/>
    <w:rsid w:val="006C5822"/>
    <w:rsid w:val="006C62DF"/>
    <w:rsid w:val="006C781E"/>
    <w:rsid w:val="006D121C"/>
    <w:rsid w:val="006D2BDB"/>
    <w:rsid w:val="006D2CA8"/>
    <w:rsid w:val="006D6834"/>
    <w:rsid w:val="006F1D37"/>
    <w:rsid w:val="006F5FE1"/>
    <w:rsid w:val="00702B4E"/>
    <w:rsid w:val="0070545B"/>
    <w:rsid w:val="00707E59"/>
    <w:rsid w:val="00707ECE"/>
    <w:rsid w:val="00710C4C"/>
    <w:rsid w:val="0071225D"/>
    <w:rsid w:val="007229FD"/>
    <w:rsid w:val="007248B4"/>
    <w:rsid w:val="007250F2"/>
    <w:rsid w:val="00736BE9"/>
    <w:rsid w:val="00737748"/>
    <w:rsid w:val="00744889"/>
    <w:rsid w:val="007502B0"/>
    <w:rsid w:val="00750DC7"/>
    <w:rsid w:val="007519DC"/>
    <w:rsid w:val="007542D7"/>
    <w:rsid w:val="0076428F"/>
    <w:rsid w:val="007654E0"/>
    <w:rsid w:val="0077005B"/>
    <w:rsid w:val="0077326D"/>
    <w:rsid w:val="00783811"/>
    <w:rsid w:val="007841B7"/>
    <w:rsid w:val="00785DBC"/>
    <w:rsid w:val="0079574A"/>
    <w:rsid w:val="00795EBA"/>
    <w:rsid w:val="00796B3A"/>
    <w:rsid w:val="007A04DA"/>
    <w:rsid w:val="007A33CB"/>
    <w:rsid w:val="007A4C12"/>
    <w:rsid w:val="007A5044"/>
    <w:rsid w:val="007B0362"/>
    <w:rsid w:val="007B2713"/>
    <w:rsid w:val="007B49C7"/>
    <w:rsid w:val="007B6134"/>
    <w:rsid w:val="007B763B"/>
    <w:rsid w:val="007C0138"/>
    <w:rsid w:val="007C4873"/>
    <w:rsid w:val="007C746B"/>
    <w:rsid w:val="007C77B4"/>
    <w:rsid w:val="007D0BFF"/>
    <w:rsid w:val="007D19A5"/>
    <w:rsid w:val="007E107F"/>
    <w:rsid w:val="007E49D9"/>
    <w:rsid w:val="007E4A94"/>
    <w:rsid w:val="007F0F67"/>
    <w:rsid w:val="007F13C0"/>
    <w:rsid w:val="007F1803"/>
    <w:rsid w:val="007F7080"/>
    <w:rsid w:val="008040D0"/>
    <w:rsid w:val="0081092B"/>
    <w:rsid w:val="00815500"/>
    <w:rsid w:val="0082083B"/>
    <w:rsid w:val="008249E7"/>
    <w:rsid w:val="00826757"/>
    <w:rsid w:val="00827F2D"/>
    <w:rsid w:val="008339C9"/>
    <w:rsid w:val="00847A2D"/>
    <w:rsid w:val="00850E70"/>
    <w:rsid w:val="00852FFF"/>
    <w:rsid w:val="00853D41"/>
    <w:rsid w:val="00854EC6"/>
    <w:rsid w:val="0086192F"/>
    <w:rsid w:val="00876EAC"/>
    <w:rsid w:val="0087765F"/>
    <w:rsid w:val="00886053"/>
    <w:rsid w:val="008863CD"/>
    <w:rsid w:val="00891164"/>
    <w:rsid w:val="0089137F"/>
    <w:rsid w:val="00895581"/>
    <w:rsid w:val="0089616C"/>
    <w:rsid w:val="008A212A"/>
    <w:rsid w:val="008A4C99"/>
    <w:rsid w:val="008A63C3"/>
    <w:rsid w:val="008B43F8"/>
    <w:rsid w:val="008D12A7"/>
    <w:rsid w:val="008D7FD9"/>
    <w:rsid w:val="008E3581"/>
    <w:rsid w:val="008E5013"/>
    <w:rsid w:val="008F35AF"/>
    <w:rsid w:val="008F66EB"/>
    <w:rsid w:val="00902965"/>
    <w:rsid w:val="00907999"/>
    <w:rsid w:val="009079CB"/>
    <w:rsid w:val="009163AF"/>
    <w:rsid w:val="00920027"/>
    <w:rsid w:val="00920974"/>
    <w:rsid w:val="009238F6"/>
    <w:rsid w:val="00931CE7"/>
    <w:rsid w:val="00937672"/>
    <w:rsid w:val="00941F63"/>
    <w:rsid w:val="009423B0"/>
    <w:rsid w:val="00942A42"/>
    <w:rsid w:val="00943779"/>
    <w:rsid w:val="00945EE9"/>
    <w:rsid w:val="0095007D"/>
    <w:rsid w:val="00951FD1"/>
    <w:rsid w:val="00953302"/>
    <w:rsid w:val="009535AB"/>
    <w:rsid w:val="00956F97"/>
    <w:rsid w:val="0097278A"/>
    <w:rsid w:val="00972B23"/>
    <w:rsid w:val="00975DF2"/>
    <w:rsid w:val="0097770D"/>
    <w:rsid w:val="0098345D"/>
    <w:rsid w:val="009863BD"/>
    <w:rsid w:val="009A1A93"/>
    <w:rsid w:val="009A2F9B"/>
    <w:rsid w:val="009B36A2"/>
    <w:rsid w:val="009B3EC3"/>
    <w:rsid w:val="009B5B1E"/>
    <w:rsid w:val="009C3EE4"/>
    <w:rsid w:val="009C5AAB"/>
    <w:rsid w:val="009C765F"/>
    <w:rsid w:val="009D0C27"/>
    <w:rsid w:val="009D3084"/>
    <w:rsid w:val="009E084A"/>
    <w:rsid w:val="009E3874"/>
    <w:rsid w:val="009E727B"/>
    <w:rsid w:val="009F1625"/>
    <w:rsid w:val="009F1831"/>
    <w:rsid w:val="009F4089"/>
    <w:rsid w:val="009F798F"/>
    <w:rsid w:val="00A01001"/>
    <w:rsid w:val="00A0542D"/>
    <w:rsid w:val="00A065B5"/>
    <w:rsid w:val="00A10510"/>
    <w:rsid w:val="00A159CD"/>
    <w:rsid w:val="00A23384"/>
    <w:rsid w:val="00A24B50"/>
    <w:rsid w:val="00A30CCB"/>
    <w:rsid w:val="00A327D6"/>
    <w:rsid w:val="00A37AAE"/>
    <w:rsid w:val="00A4624B"/>
    <w:rsid w:val="00A51662"/>
    <w:rsid w:val="00A5232C"/>
    <w:rsid w:val="00A529AF"/>
    <w:rsid w:val="00A552DF"/>
    <w:rsid w:val="00A55347"/>
    <w:rsid w:val="00A5647A"/>
    <w:rsid w:val="00A6062F"/>
    <w:rsid w:val="00A615AF"/>
    <w:rsid w:val="00A74454"/>
    <w:rsid w:val="00A76092"/>
    <w:rsid w:val="00A7657F"/>
    <w:rsid w:val="00A80106"/>
    <w:rsid w:val="00A8033D"/>
    <w:rsid w:val="00A82919"/>
    <w:rsid w:val="00A86C6C"/>
    <w:rsid w:val="00A913B4"/>
    <w:rsid w:val="00A91DA4"/>
    <w:rsid w:val="00A9346A"/>
    <w:rsid w:val="00A93C83"/>
    <w:rsid w:val="00A94A92"/>
    <w:rsid w:val="00A96568"/>
    <w:rsid w:val="00AA3299"/>
    <w:rsid w:val="00AA5972"/>
    <w:rsid w:val="00AA62D3"/>
    <w:rsid w:val="00AA6A46"/>
    <w:rsid w:val="00AB59D7"/>
    <w:rsid w:val="00AC0F04"/>
    <w:rsid w:val="00AC1CDA"/>
    <w:rsid w:val="00AC1F9D"/>
    <w:rsid w:val="00AC3CCB"/>
    <w:rsid w:val="00AC7217"/>
    <w:rsid w:val="00AD10B1"/>
    <w:rsid w:val="00AD4401"/>
    <w:rsid w:val="00AD615C"/>
    <w:rsid w:val="00AD7332"/>
    <w:rsid w:val="00AE1161"/>
    <w:rsid w:val="00AE1DCD"/>
    <w:rsid w:val="00AE5866"/>
    <w:rsid w:val="00AF3CA5"/>
    <w:rsid w:val="00AF3EBA"/>
    <w:rsid w:val="00B03D6B"/>
    <w:rsid w:val="00B04D93"/>
    <w:rsid w:val="00B16A00"/>
    <w:rsid w:val="00B1740A"/>
    <w:rsid w:val="00B22FEA"/>
    <w:rsid w:val="00B30FE8"/>
    <w:rsid w:val="00B374C6"/>
    <w:rsid w:val="00B41D4C"/>
    <w:rsid w:val="00B433D5"/>
    <w:rsid w:val="00B44BFF"/>
    <w:rsid w:val="00B460E0"/>
    <w:rsid w:val="00B462B5"/>
    <w:rsid w:val="00B472EC"/>
    <w:rsid w:val="00B52779"/>
    <w:rsid w:val="00B549DC"/>
    <w:rsid w:val="00B6326C"/>
    <w:rsid w:val="00B636F8"/>
    <w:rsid w:val="00B63D69"/>
    <w:rsid w:val="00B7105A"/>
    <w:rsid w:val="00B71AD3"/>
    <w:rsid w:val="00B82513"/>
    <w:rsid w:val="00B840BD"/>
    <w:rsid w:val="00B8691D"/>
    <w:rsid w:val="00B86A9A"/>
    <w:rsid w:val="00B87D75"/>
    <w:rsid w:val="00B91910"/>
    <w:rsid w:val="00B94135"/>
    <w:rsid w:val="00B95CE6"/>
    <w:rsid w:val="00BA0E35"/>
    <w:rsid w:val="00BA6E05"/>
    <w:rsid w:val="00BB2BE6"/>
    <w:rsid w:val="00BB305C"/>
    <w:rsid w:val="00BB3822"/>
    <w:rsid w:val="00BB3903"/>
    <w:rsid w:val="00BB39C8"/>
    <w:rsid w:val="00BD16A7"/>
    <w:rsid w:val="00BE3622"/>
    <w:rsid w:val="00BE3DE9"/>
    <w:rsid w:val="00BF62BA"/>
    <w:rsid w:val="00C03B37"/>
    <w:rsid w:val="00C03DF2"/>
    <w:rsid w:val="00C0794D"/>
    <w:rsid w:val="00C11EB3"/>
    <w:rsid w:val="00C12E3B"/>
    <w:rsid w:val="00C223B8"/>
    <w:rsid w:val="00C260DA"/>
    <w:rsid w:val="00C30C7D"/>
    <w:rsid w:val="00C4423F"/>
    <w:rsid w:val="00C45109"/>
    <w:rsid w:val="00C45C8D"/>
    <w:rsid w:val="00C50EE8"/>
    <w:rsid w:val="00C524EC"/>
    <w:rsid w:val="00C54368"/>
    <w:rsid w:val="00C61188"/>
    <w:rsid w:val="00C6512A"/>
    <w:rsid w:val="00C66CA7"/>
    <w:rsid w:val="00C716FE"/>
    <w:rsid w:val="00C71E6E"/>
    <w:rsid w:val="00C72A4E"/>
    <w:rsid w:val="00C775A5"/>
    <w:rsid w:val="00C80335"/>
    <w:rsid w:val="00C9717D"/>
    <w:rsid w:val="00CA2C70"/>
    <w:rsid w:val="00CA2F8D"/>
    <w:rsid w:val="00CA6BD9"/>
    <w:rsid w:val="00CA7CA8"/>
    <w:rsid w:val="00CB2027"/>
    <w:rsid w:val="00CB3F1A"/>
    <w:rsid w:val="00CB7904"/>
    <w:rsid w:val="00CC062F"/>
    <w:rsid w:val="00CC5474"/>
    <w:rsid w:val="00CD4EEA"/>
    <w:rsid w:val="00CE020F"/>
    <w:rsid w:val="00CE2769"/>
    <w:rsid w:val="00CE2B20"/>
    <w:rsid w:val="00CE44F1"/>
    <w:rsid w:val="00CE4F5B"/>
    <w:rsid w:val="00CE5A25"/>
    <w:rsid w:val="00D0342D"/>
    <w:rsid w:val="00D100DB"/>
    <w:rsid w:val="00D13738"/>
    <w:rsid w:val="00D217E7"/>
    <w:rsid w:val="00D24067"/>
    <w:rsid w:val="00D24C27"/>
    <w:rsid w:val="00D267B5"/>
    <w:rsid w:val="00D311A4"/>
    <w:rsid w:val="00D31C60"/>
    <w:rsid w:val="00D33878"/>
    <w:rsid w:val="00D3442A"/>
    <w:rsid w:val="00D35026"/>
    <w:rsid w:val="00D4134C"/>
    <w:rsid w:val="00D42BE6"/>
    <w:rsid w:val="00D52B50"/>
    <w:rsid w:val="00D60BB8"/>
    <w:rsid w:val="00D6157E"/>
    <w:rsid w:val="00D6290E"/>
    <w:rsid w:val="00D728F6"/>
    <w:rsid w:val="00D743CF"/>
    <w:rsid w:val="00D82126"/>
    <w:rsid w:val="00D8501D"/>
    <w:rsid w:val="00DA3315"/>
    <w:rsid w:val="00DA707E"/>
    <w:rsid w:val="00DB239E"/>
    <w:rsid w:val="00DB2683"/>
    <w:rsid w:val="00DB7B89"/>
    <w:rsid w:val="00DC6C42"/>
    <w:rsid w:val="00DE1B75"/>
    <w:rsid w:val="00DE4EA0"/>
    <w:rsid w:val="00DF19E7"/>
    <w:rsid w:val="00E01FC6"/>
    <w:rsid w:val="00E03F38"/>
    <w:rsid w:val="00E16EB9"/>
    <w:rsid w:val="00E173B5"/>
    <w:rsid w:val="00E21D25"/>
    <w:rsid w:val="00E228EF"/>
    <w:rsid w:val="00E23B26"/>
    <w:rsid w:val="00E25976"/>
    <w:rsid w:val="00E261DC"/>
    <w:rsid w:val="00E27B76"/>
    <w:rsid w:val="00E30007"/>
    <w:rsid w:val="00E36307"/>
    <w:rsid w:val="00E400C4"/>
    <w:rsid w:val="00E40794"/>
    <w:rsid w:val="00E43148"/>
    <w:rsid w:val="00E458F8"/>
    <w:rsid w:val="00E47A39"/>
    <w:rsid w:val="00E55F2E"/>
    <w:rsid w:val="00E56F6E"/>
    <w:rsid w:val="00E61C0B"/>
    <w:rsid w:val="00E63554"/>
    <w:rsid w:val="00E6524C"/>
    <w:rsid w:val="00E70D09"/>
    <w:rsid w:val="00E77553"/>
    <w:rsid w:val="00E80908"/>
    <w:rsid w:val="00E82D56"/>
    <w:rsid w:val="00E86F8B"/>
    <w:rsid w:val="00E87961"/>
    <w:rsid w:val="00E923C1"/>
    <w:rsid w:val="00EA3FA2"/>
    <w:rsid w:val="00EB08DA"/>
    <w:rsid w:val="00EB3879"/>
    <w:rsid w:val="00EC50FF"/>
    <w:rsid w:val="00EC71E3"/>
    <w:rsid w:val="00ED0965"/>
    <w:rsid w:val="00ED0B02"/>
    <w:rsid w:val="00ED4532"/>
    <w:rsid w:val="00ED57C5"/>
    <w:rsid w:val="00EE124D"/>
    <w:rsid w:val="00EE5F1D"/>
    <w:rsid w:val="00EE7CEB"/>
    <w:rsid w:val="00EF2386"/>
    <w:rsid w:val="00EF2C37"/>
    <w:rsid w:val="00F000F0"/>
    <w:rsid w:val="00F00D3C"/>
    <w:rsid w:val="00F030D9"/>
    <w:rsid w:val="00F03116"/>
    <w:rsid w:val="00F06942"/>
    <w:rsid w:val="00F133C7"/>
    <w:rsid w:val="00F13AF6"/>
    <w:rsid w:val="00F175B6"/>
    <w:rsid w:val="00F23757"/>
    <w:rsid w:val="00F30176"/>
    <w:rsid w:val="00F34F9E"/>
    <w:rsid w:val="00F36E73"/>
    <w:rsid w:val="00F401F9"/>
    <w:rsid w:val="00F43EDB"/>
    <w:rsid w:val="00F523CF"/>
    <w:rsid w:val="00F52EEF"/>
    <w:rsid w:val="00F539D6"/>
    <w:rsid w:val="00F53E70"/>
    <w:rsid w:val="00F607CE"/>
    <w:rsid w:val="00F61AFA"/>
    <w:rsid w:val="00F62EC4"/>
    <w:rsid w:val="00F62F2B"/>
    <w:rsid w:val="00F643E7"/>
    <w:rsid w:val="00F669A9"/>
    <w:rsid w:val="00F70E8F"/>
    <w:rsid w:val="00F7201D"/>
    <w:rsid w:val="00F7738C"/>
    <w:rsid w:val="00F84637"/>
    <w:rsid w:val="00F85169"/>
    <w:rsid w:val="00F86437"/>
    <w:rsid w:val="00F87E22"/>
    <w:rsid w:val="00F90E1C"/>
    <w:rsid w:val="00F94907"/>
    <w:rsid w:val="00F97F16"/>
    <w:rsid w:val="00FA0862"/>
    <w:rsid w:val="00FA634F"/>
    <w:rsid w:val="00FB0680"/>
    <w:rsid w:val="00FB109A"/>
    <w:rsid w:val="00FB555F"/>
    <w:rsid w:val="00FB64BB"/>
    <w:rsid w:val="00FD3FA2"/>
    <w:rsid w:val="00FD58BF"/>
    <w:rsid w:val="00FE4D34"/>
    <w:rsid w:val="00FF10BE"/>
    <w:rsid w:val="00FF3007"/>
    <w:rsid w:val="00FF4EC4"/>
    <w:rsid w:val="00FF5D4D"/>
    <w:rsid w:val="1ABC6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kern w:val="0"/>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rFonts w:asciiTheme="minorHAnsi" w:hAnsiTheme="minorHAnsi" w:cstheme="minorBidi"/>
      <w:kern w:val="2"/>
      <w:sz w:val="18"/>
      <w:szCs w:val="22"/>
    </w:rPr>
  </w:style>
  <w:style w:type="paragraph" w:styleId="3">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99"/>
    <w:pPr>
      <w:widowControl/>
      <w:adjustRightInd/>
      <w:spacing w:before="100" w:beforeAutospacing="1" w:after="100" w:afterAutospacing="1" w:line="240" w:lineRule="auto"/>
      <w:jc w:val="left"/>
      <w:textAlignment w:val="auto"/>
    </w:pPr>
    <w:rPr>
      <w:rFonts w:eastAsia="宋体"/>
      <w:spacing w:val="0"/>
      <w:sz w:val="24"/>
      <w:szCs w:val="24"/>
    </w:rPr>
  </w:style>
  <w:style w:type="character" w:customStyle="1" w:styleId="7">
    <w:name w:val="页脚 Char"/>
    <w:link w:val="2"/>
    <w:uiPriority w:val="0"/>
    <w:rPr>
      <w:rFonts w:eastAsia="楷体_GB2312"/>
      <w:spacing w:val="8"/>
      <w:sz w:val="18"/>
    </w:rPr>
  </w:style>
  <w:style w:type="paragraph" w:styleId="8">
    <w:name w:val="List Paragraph"/>
    <w:basedOn w:val="1"/>
    <w:qFormat/>
    <w:uiPriority w:val="99"/>
    <w:pPr>
      <w:adjustRightInd/>
      <w:spacing w:line="240" w:lineRule="auto"/>
      <w:ind w:firstLine="420" w:firstLineChars="200"/>
      <w:textAlignment w:val="auto"/>
    </w:pPr>
    <w:rPr>
      <w:rFonts w:ascii="Calibri" w:hAnsi="Calibri" w:eastAsia="宋体"/>
      <w:spacing w:val="0"/>
      <w:kern w:val="2"/>
      <w:sz w:val="21"/>
      <w:szCs w:val="22"/>
    </w:rPr>
  </w:style>
  <w:style w:type="character" w:customStyle="1" w:styleId="9">
    <w:name w:val="页脚 Char1"/>
    <w:basedOn w:val="6"/>
    <w:semiHidden/>
    <w:uiPriority w:val="99"/>
    <w:rPr>
      <w:rFonts w:ascii="Times New Roman" w:hAnsi="Times New Roman" w:eastAsia="楷体_GB2312" w:cs="Times New Roman"/>
      <w:spacing w:val="8"/>
      <w:kern w:val="0"/>
      <w:sz w:val="18"/>
      <w:szCs w:val="18"/>
    </w:rPr>
  </w:style>
  <w:style w:type="character" w:customStyle="1" w:styleId="10">
    <w:name w:val="页眉 Char"/>
    <w:basedOn w:val="6"/>
    <w:link w:val="3"/>
    <w:uiPriority w:val="99"/>
    <w:rPr>
      <w:rFonts w:ascii="Times New Roman" w:hAnsi="Times New Roman" w:eastAsia="楷体_GB2312" w:cs="Times New Roman"/>
      <w:spacing w:val="8"/>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CB589-3356-4770-83C2-CEE7FF05DE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1262</Words>
  <Characters>7194</Characters>
  <Lines>59</Lines>
  <Paragraphs>16</Paragraphs>
  <TotalTime>7</TotalTime>
  <ScaleCrop>false</ScaleCrop>
  <LinksUpToDate>false</LinksUpToDate>
  <CharactersWithSpaces>8440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2018-03-19T09:23:00Z</dcterms:created>
  <dc:creator>Lenovo</dc:creator>
  <cp:lastModifiedBy>动之意</cp:lastModifiedBy>
  <dcterms:modified xsi:type="dcterms:W3CDTF">2019-12-11T05:02:30Z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