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hAnsi="仿宋" w:eastAsia="仿宋_GB2312"/>
          <w:sz w:val="32"/>
          <w:szCs w:val="32"/>
        </w:rPr>
      </w:pPr>
      <w:bookmarkStart w:id="0" w:name="第七部分部门决算分析报告撰写提纲"/>
    </w:p>
    <w:p>
      <w:pPr>
        <w:snapToGrid w:val="0"/>
        <w:jc w:val="center"/>
        <w:rPr>
          <w:rFonts w:hint="eastAsia" w:ascii="华文中宋" w:hAnsi="华文中宋" w:eastAsia="华文中宋"/>
          <w:sz w:val="36"/>
          <w:szCs w:val="36"/>
        </w:rPr>
      </w:pPr>
      <w:r>
        <w:rPr>
          <w:rFonts w:hint="eastAsia" w:ascii="华文中宋" w:hAnsi="华文中宋" w:eastAsia="华文中宋"/>
          <w:sz w:val="36"/>
          <w:szCs w:val="36"/>
        </w:rPr>
        <w:t>2018年度部门决算分析报告</w:t>
      </w:r>
    </w:p>
    <w:p>
      <w:pPr>
        <w:snapToGrid w:val="0"/>
        <w:spacing w:line="520" w:lineRule="exact"/>
        <w:ind w:firstLine="640" w:firstLineChars="200"/>
        <w:rPr>
          <w:rFonts w:hint="eastAsia" w:ascii="黑体" w:hAnsi="黑体" w:eastAsia="黑体"/>
          <w:sz w:val="32"/>
          <w:szCs w:val="32"/>
        </w:rPr>
      </w:pPr>
      <w:bookmarkStart w:id="1" w:name="YS060101"/>
      <w:r>
        <w:rPr>
          <w:rFonts w:hint="eastAsia" w:ascii="黑体" w:hAnsi="黑体" w:eastAsia="黑体"/>
          <w:sz w:val="32"/>
          <w:szCs w:val="32"/>
        </w:rPr>
        <w:t>一、单位情况</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1．主要职能：实施小学义务教育，促进基础教育发展，小学学历教育（相关社会服务）。</w:t>
      </w:r>
    </w:p>
    <w:p>
      <w:pPr>
        <w:snapToGrid w:val="0"/>
        <w:spacing w:line="588"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2．机构情况：宁夏路二小学是一所具有百年办学历史的学校，占地面积9600平方米，校舍建筑面积3594平方米，在校学生数1036人，学校编制数为66人，现有教师66人。</w:t>
      </w:r>
    </w:p>
    <w:p>
      <w:pPr>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3．人员情况：在职教师66人，退休教师29人，离休1人，共计96人,其中当年新考录教师4人。</w:t>
      </w:r>
    </w:p>
    <w:p>
      <w:pPr>
        <w:snapToGrid w:val="0"/>
        <w:spacing w:line="520" w:lineRule="exact"/>
        <w:ind w:firstLine="643" w:firstLineChars="200"/>
        <w:rPr>
          <w:rFonts w:hint="eastAsia" w:ascii="楷体_GB2312" w:hAnsi="仿宋" w:eastAsia="楷体_GB2312"/>
          <w:b/>
          <w:sz w:val="32"/>
          <w:szCs w:val="32"/>
        </w:rPr>
      </w:pPr>
      <w:bookmarkStart w:id="2" w:name="YS060102"/>
      <w:r>
        <w:rPr>
          <w:rFonts w:hint="eastAsia" w:ascii="楷体_GB2312" w:hAnsi="仿宋" w:eastAsia="楷体_GB2312"/>
          <w:b/>
          <w:sz w:val="32"/>
          <w:szCs w:val="32"/>
        </w:rPr>
        <w:t>（二）当年取得的主要事业成效。</w:t>
      </w:r>
    </w:p>
    <w:p>
      <w:pPr>
        <w:spacing w:line="560" w:lineRule="exact"/>
        <w:ind w:firstLine="640" w:firstLineChars="200"/>
        <w:jc w:val="left"/>
        <w:rPr>
          <w:rFonts w:ascii="仿宋" w:hAnsi="仿宋" w:eastAsia="仿宋"/>
          <w:bCs/>
          <w:sz w:val="32"/>
          <w:szCs w:val="32"/>
        </w:rPr>
      </w:pPr>
      <w:r>
        <w:rPr>
          <w:rFonts w:hint="eastAsia" w:ascii="仿宋" w:hAnsi="仿宋" w:eastAsia="仿宋" w:cs="仿宋"/>
          <w:bCs/>
          <w:sz w:val="32"/>
          <w:szCs w:val="32"/>
        </w:rPr>
        <w:t>学校把课题研究作为教科研载体，承担了国家课题《微课、慕课、翻转课堂教学方法创新研究》、区域课题《基于学校传统文化特色的课程建设研究》，青岛市教研室承担的全国重点课题研究的数学子课题实验学校，市南区课程建设与实施实验校，市南区“互联网</w:t>
      </w:r>
      <w:r>
        <w:rPr>
          <w:rFonts w:ascii="仿宋" w:hAnsi="仿宋" w:eastAsia="仿宋" w:cs="仿宋"/>
          <w:bCs/>
          <w:sz w:val="32"/>
          <w:szCs w:val="32"/>
        </w:rPr>
        <w:t>+</w:t>
      </w:r>
      <w:r>
        <w:rPr>
          <w:rFonts w:hint="eastAsia" w:ascii="仿宋" w:hAnsi="仿宋" w:eastAsia="仿宋" w:cs="仿宋"/>
          <w:bCs/>
          <w:sz w:val="32"/>
          <w:szCs w:val="32"/>
        </w:rPr>
        <w:t>”实验校，学校将教育科研根植于实践，不脱离实践经验，各课题组加强过程研究，注重研究材料的收集与整理。完善教科研的评比制度、教育科研工作制度、教育科研档案管理制度。</w:t>
      </w:r>
    </w:p>
    <w:bookmarkEnd w:id="2"/>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二、收入支出预算执行情况分析</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88" w:lineRule="exact"/>
        <w:ind w:firstLine="640" w:firstLineChars="200"/>
        <w:rPr>
          <w:rFonts w:hint="eastAsia" w:ascii="仿宋_GB2312" w:hAnsi="仿宋" w:eastAsia="仿宋_GB2312"/>
          <w:sz w:val="32"/>
          <w:szCs w:val="32"/>
        </w:rPr>
      </w:pPr>
      <w:r>
        <w:rPr>
          <w:rFonts w:hint="eastAsia" w:ascii="仿宋" w:hAnsi="仿宋" w:eastAsia="仿宋" w:cs="仿宋"/>
          <w:bCs/>
          <w:sz w:val="32"/>
          <w:szCs w:val="32"/>
        </w:rPr>
        <w:t>本年初预算安排收入为1069万元，上年年初预算安排收入为1314万元，本年支出预算安排为1069万元，上年支出预算安排为1314万元。本年的预算收入和支出跟上年预算收入和支出的有差异，主要原因是</w:t>
      </w:r>
      <w:r>
        <w:rPr>
          <w:rFonts w:hint="eastAsia" w:ascii="仿宋_GB2312" w:hAnsi="仿宋" w:eastAsia="仿宋_GB2312"/>
          <w:sz w:val="32"/>
          <w:szCs w:val="32"/>
        </w:rPr>
        <w:t>本年度上级教育部门加大了对教学第一线的经费投入，大幅度的提高了教师的工资水平，加大了对艺术、体育尤其是足球项目的投入。</w:t>
      </w:r>
    </w:p>
    <w:p>
      <w:pPr>
        <w:snapToGrid w:val="0"/>
        <w:spacing w:line="588"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（2）差异原因分析。差异较大的应分析到具体收入支出功能科目和具体单位。</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各项收入占总收入的比重，各项支出占总支出的比重（可分别制作饼状图）。</w:t>
      </w: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pict>
          <v:shape id="_x0000_s1026" o:spid="_x0000_s1026" o:spt="75" type="#_x0000_t75" style="position:absolute;left:0pt;margin-left:32.3pt;margin-top:4.7pt;height:143.75pt;width:216.05pt;z-index:251662336;mso-width-relative:page;mso-height-relative:page;" o:ole="t" filled="f" o:preferrelative="t" stroked="f" coordsize="21600,21600">
            <v:path/>
            <v:fill on="f" alignshape="1" focussize="0,0"/>
            <v:stroke on="f"/>
            <v:imagedata r:id="rId6" o:title=""/>
            <o:lock v:ext="edit" aspectratio="t"/>
          </v:shape>
          <o:OLEObject Type="Embed" ProgID="MSGraph.Chart.8" ShapeID="_x0000_s1026" DrawAspect="Content" ObjectID="_1468075725" r:id="rId5">
            <o:LockedField>false</o:LockedField>
          </o:OLEObject>
        </w:pic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pict>
          <v:shape id="_x0000_s1027" o:spid="_x0000_s1027" o:spt="75" type="#_x0000_t75" style="position:absolute;left:0pt;margin-left:32.3pt;margin-top:15.85pt;height:220.05pt;width:216.5pt;z-index:251660288;mso-width-relative:page;mso-height-relative:page;" o:ole="t" filled="f" o:preferrelative="t" stroked="f" coordsize="21600,21600">
            <v:path/>
            <v:fill on="f" alignshape="1" focussize="0,0"/>
            <v:stroke on="f"/>
            <v:imagedata r:id="rId8" o:title=""/>
            <o:lock v:ext="edit" aspectratio="t"/>
          </v:shape>
          <o:OLEObject Type="Embed" ProgID="MSGraph.Chart.8" ShapeID="_x0000_s1027" DrawAspect="Content" ObjectID="_1468075726" r:id="rId7">
            <o:LockedField>false</o:LockedField>
          </o:OLEObject>
        </w:pict>
      </w:r>
      <w:r>
        <w:rPr>
          <w:rFonts w:hint="eastAsia" w:ascii="仿宋_GB2312" w:hAnsi="仿宋" w:eastAsia="仿宋_GB2312"/>
          <w:sz w:val="32"/>
          <w:szCs w:val="32"/>
        </w:rPr>
        <w:t>各项收入占总收入的比重，各项支出占总支出的比重（可分别制作饼状图）。</w:t>
      </w:r>
    </w:p>
    <w:p>
      <w:pPr>
        <w:snapToGrid w:val="0"/>
        <w:spacing w:line="520" w:lineRule="exact"/>
        <w:rPr>
          <w:rFonts w:hint="eastAsia" w:ascii="仿宋_GB2312" w:hAnsi="仿宋" w:eastAsia="仿宋_GB2312"/>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（1）“三公”经费支出情况：可进行上下年对比、预决算对比，人均支出情况分析（可做表、柱图、折线图）。</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pict>
          <v:shape id="_x0000_s1028" o:spid="_x0000_s1028" o:spt="75" type="#_x0000_t75" style="position:absolute;left:0pt;margin-left:32.3pt;margin-top:-123.3pt;height:143.75pt;width:216.05pt;z-index:251661312;mso-width-relative:page;mso-height-relative:page;" o:ole="t" filled="f" o:preferrelative="t" stroked="f" coordsize="21600,21600">
            <v:path/>
            <v:fill on="f" alignshape="1" focussize="0,0"/>
            <v:stroke on="f"/>
            <v:imagedata r:id="rId10" o:title=""/>
            <o:lock v:ext="edit" aspectratio="t"/>
          </v:shape>
          <o:OLEObject Type="Embed" ProgID="MSGraph.Chart.8" ShapeID="_x0000_s1028" DrawAspect="Content" ObjectID="_1468075727" r:id="rId9">
            <o:LockedField>false</o:LockedField>
          </o:OLEObject>
        </w:pic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（2）会议费支出情况：可进行上下年对比、预决算对比，人均支出情况分析（可做表、柱图、折线图）。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本年度无会议费支出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（3）培训费支出情况：可进行上下年对比、预决算对比，人均支出情况分析（可做表、柱图、折线图）。</w:t>
      </w: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pict>
          <v:shape id="_x0000_s1029" o:spid="_x0000_s1029" o:spt="75" type="#_x0000_t75" style="position:absolute;left:0pt;margin-left:31.45pt;margin-top:9.95pt;height:143.75pt;width:216.05pt;z-index:251658240;mso-width-relative:page;mso-height-relative:page;" o:ole="t" filled="f" o:preferrelative="t" stroked="f" coordsize="21600,21600">
            <v:path/>
            <v:fill on="f" alignshape="1" focussize="0,0"/>
            <v:stroke on="f"/>
            <v:imagedata r:id="rId12" o:title=""/>
            <o:lock v:ext="edit" aspectratio="t"/>
          </v:shape>
          <o:OLEObject Type="Embed" ProgID="MSGraph.Chart.8" ShapeID="_x0000_s1029" DrawAspect="Content" ObjectID="_1468075728" r:id="rId11">
            <o:LockedField>false</o:LockedField>
          </o:OLEObject>
        </w:pict>
      </w:r>
      <w:r>
        <w:rPr>
          <w:rFonts w:hint="eastAsia" w:ascii="仿宋_GB2312" w:hAnsi="仿宋" w:eastAsia="仿宋_GB2312"/>
          <w:sz w:val="32"/>
          <w:szCs w:val="32"/>
        </w:rPr>
        <w:t>培训费支出情况对比图</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tabs>
          <w:tab w:val="left" w:pos="2480"/>
        </w:tabs>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培训费人均支出情况分析图</w:t>
      </w: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pict>
          <v:shape id="_x0000_s1030" o:spid="_x0000_s1030" o:spt="75" type="#_x0000_t75" style="position:absolute;left:0pt;margin-left:31.45pt;margin-top:25.2pt;height:143.75pt;width:216.05pt;z-index:251659264;mso-width-relative:page;mso-height-relative:page;" o:ole="t" filled="f" o:preferrelative="t" stroked="f" coordsize="21600,21600">
            <v:path/>
            <v:fill on="f" alignshape="1" focussize="0,0"/>
            <v:stroke on="f"/>
            <v:imagedata r:id="rId14" o:title=""/>
            <o:lock v:ext="edit" aspectratio="t"/>
          </v:shape>
          <o:OLEObject Type="Embed" ProgID="MSGraph.Chart.8" ShapeID="_x0000_s1030" DrawAspect="Content" ObjectID="_1468075729" r:id="rId13">
            <o:LockedField>false</o:LockedField>
          </o:OLEObject>
        </w:pict>
      </w:r>
    </w:p>
    <w:p>
      <w:pPr>
        <w:snapToGrid w:val="0"/>
        <w:spacing w:line="520" w:lineRule="exact"/>
        <w:ind w:firstLine="640" w:firstLineChars="200"/>
        <w:rPr>
          <w:rFonts w:hint="eastAsia" w:ascii="仿宋_GB2312" w:hAnsi="仿宋" w:eastAsia="仿宋_GB2312"/>
          <w:sz w:val="32"/>
          <w:szCs w:val="32"/>
        </w:rPr>
      </w:pPr>
    </w:p>
    <w:p>
      <w:pPr>
        <w:tabs>
          <w:tab w:val="left" w:pos="2190"/>
        </w:tabs>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tab/>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（4）其他对单位影响较大的支出情况。</w:t>
      </w:r>
    </w:p>
    <w:p>
      <w:pPr>
        <w:snapToGrid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本年度学生数量增加,图书人均需求量增长,其他资本性支出占比重过大.</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分析财政拨款收入、支出总体情况，支出要按照基本支出和项目支出分析具体构成及特点。</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1．分资金来源、资金性质结转和结余情况，特别是项目经费结转和结余情况。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2．结转和结余规模较大的原因分析及消化结转和结余的对策。</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（四）绩效目标完成情况。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1.概述项目绩效目标完成情况。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2.概述本单位整体支出绩效目标实现情况（如有）。</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（五）当年预算执行及绩效管理中存在问题、原因及改进措施。</w:t>
      </w:r>
    </w:p>
    <w:p>
      <w:pPr>
        <w:snapToGrid w:val="0"/>
        <w:spacing w:line="520" w:lineRule="exact"/>
        <w:ind w:firstLine="640" w:firstLineChars="200"/>
        <w:rPr>
          <w:rFonts w:hint="eastAsia" w:ascii="黑体" w:hAnsi="黑体" w:eastAsia="黑体"/>
          <w:sz w:val="32"/>
          <w:szCs w:val="32"/>
        </w:rPr>
      </w:pPr>
      <w:bookmarkStart w:id="3" w:name="YS060103"/>
      <w:r>
        <w:rPr>
          <w:rFonts w:hint="eastAsia" w:ascii="黑体" w:hAnsi="黑体" w:eastAsia="黑体"/>
          <w:sz w:val="32"/>
          <w:szCs w:val="32"/>
        </w:rPr>
        <w:t>三、资产负债情况分析</w:t>
      </w:r>
    </w:p>
    <w:bookmarkEnd w:id="3"/>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年末单位资产、负债基本情况，与上年度对比情况，包括增减绝对值与幅度，增减变动主要原因(可用柱形图或折线图)。</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（一）资产负债结构情况。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对资产负债具体构成进行分析，可从占比、上下年变动等方面进行分析（可用饼图、柱图或折线图），重点说明主要资产、负债基本情况、变动情况及原因。</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（二）资产负债对比分析。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计算资产负债率，可进行连续年度的对比，分析单位资产负债管理中存在的问题，加强资产效益管理，避免潜在的资产负债风险。</w:t>
      </w:r>
    </w:p>
    <w:p>
      <w:pPr>
        <w:snapToGrid w:val="0"/>
        <w:spacing w:line="520" w:lineRule="exact"/>
        <w:ind w:firstLine="640" w:firstLineChars="200"/>
        <w:rPr>
          <w:rFonts w:hint="eastAsia" w:ascii="黑体" w:hAnsi="黑体" w:eastAsia="黑体"/>
          <w:sz w:val="32"/>
          <w:szCs w:val="32"/>
        </w:rPr>
      </w:pPr>
      <w:bookmarkStart w:id="4" w:name="YS060104"/>
      <w:r>
        <w:rPr>
          <w:rFonts w:hint="eastAsia" w:ascii="黑体" w:hAnsi="黑体" w:eastAsia="黑体"/>
          <w:sz w:val="32"/>
          <w:szCs w:val="32"/>
        </w:rPr>
        <w:t>四、本年度部门决算等财务工作开展情况</w:t>
      </w:r>
    </w:p>
    <w:bookmarkEnd w:id="4"/>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（二）本单位决算公开工作、主管部门对所属单位按规定批复决算工作开展情况。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（三）对单位决算管理及报表设计的意见建议。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（四）对加强部门决算数据分析利用工作的建议。</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注：收入支出预算执行情况分析可参考部门决算分析评价表（见软件查询模板）及行政事业单位财务分析指标（附后）。</w:t>
      </w: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5"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5"/>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6" w:name="YS060201"/>
      <w:r>
        <w:rPr>
          <w:rFonts w:hint="eastAsia" w:ascii="黑体" w:hAnsi="黑体" w:eastAsia="黑体"/>
          <w:sz w:val="32"/>
          <w:szCs w:val="32"/>
        </w:rPr>
        <w:t>一、行政单位财务分析指标</w:t>
      </w:r>
    </w:p>
    <w:bookmarkEnd w:id="6"/>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7" w:name="YS060202"/>
      <w:r>
        <w:rPr>
          <w:rFonts w:hint="eastAsia" w:ascii="黑体" w:hAnsi="黑体" w:eastAsia="黑体"/>
          <w:sz w:val="32"/>
          <w:szCs w:val="32"/>
        </w:rPr>
        <w:t>二、事业单位财务分析指标</w:t>
      </w:r>
    </w:p>
    <w:bookmarkEnd w:id="7"/>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4.资产负债率，衡量事业单位利用债权人提供资金开展业务活动的能力，以及反映债权人提供资金的安全保障程度。计算公式为：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资产负债率＝负债总额÷资产总额×100%</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bookmarkEnd w:id="0"/>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2.固定资产成新率，反映部门（单位）固定资产的新旧程度。</w:t>
      </w:r>
    </w:p>
    <w:p>
      <w:pPr>
        <w:ind w:firstLine="640" w:firstLineChars="200"/>
      </w:pPr>
      <w:r>
        <w:rPr>
          <w:rFonts w:hint="eastAsia" w:ascii="仿宋_GB2312" w:hAnsi="仿宋" w:eastAsia="仿宋_GB2312"/>
          <w:sz w:val="32"/>
          <w:szCs w:val="32"/>
        </w:rPr>
        <w:t>固定资产成新率=固定资产净值÷固定资产原值×100%</w:t>
      </w:r>
      <w:bookmarkStart w:id="8" w:name="_GoBack"/>
      <w:bookmarkEnd w:id="8"/>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7</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B1721"/>
    <w:rsid w:val="6F8B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2020-11-26T01:32:00Z</dcterms:created>
  <dc:creator>王小君</dc:creator>
  <cp:lastModifiedBy>王小君</cp:lastModifiedBy>
  <dcterms:modified xsi:type="dcterms:W3CDTF">2020-11-26T01:33:05Z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